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3A4ABB5F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Dimm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D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1 RF KNX 49416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2990812C" w14:textId="1640F9D0" w:rsidR="006D3AB9" w:rsidRPr="005E31EB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Taster-</w:t>
      </w:r>
      <w:r w:rsidR="00E50F03">
        <w:rPr>
          <w:rFonts w:ascii="Arial" w:hAnsi="Arial" w:cs="Arial"/>
          <w:sz w:val="20"/>
          <w:szCs w:val="20"/>
          <w:highlight w:val="green"/>
        </w:rPr>
        <w:t>Dimm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aktor Kombination KNX </w:t>
      </w:r>
      <w:r w:rsidR="002C04DF">
        <w:rPr>
          <w:rFonts w:ascii="Arial" w:hAnsi="Arial" w:cs="Arial"/>
          <w:sz w:val="20"/>
          <w:szCs w:val="20"/>
          <w:highlight w:val="green"/>
        </w:rPr>
        <w:t>RF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zum Einbau in Unterputzdosen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03F6D3FF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2C04DF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408B2C6C" w14:textId="77777777" w:rsidR="00B162BE" w:rsidRPr="00B162BE" w:rsidRDefault="00B162BE" w:rsidP="0078055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B162BE">
        <w:rPr>
          <w:rFonts w:ascii="Arial" w:hAnsi="Arial" w:cs="Arial"/>
          <w:sz w:val="20"/>
          <w:szCs w:val="20"/>
          <w:highlight w:val="green"/>
        </w:rPr>
        <w:t>Für dimmbare LED, Glüh- und Halogenlampen, Energiesparlampen sowie dimmbare Trafos</w:t>
      </w:r>
    </w:p>
    <w:p w14:paraId="6514C12C" w14:textId="77777777" w:rsidR="00780555" w:rsidRPr="00780555" w:rsidRDefault="00780555" w:rsidP="0078055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780555">
        <w:rPr>
          <w:rFonts w:ascii="Arial" w:hAnsi="Arial" w:cs="Arial"/>
          <w:sz w:val="20"/>
          <w:szCs w:val="20"/>
          <w:highlight w:val="green"/>
        </w:rPr>
        <w:t>Einfache Adaption an verschiedene Leuchtmittel durch automatische Lasterkennung</w:t>
      </w:r>
    </w:p>
    <w:p w14:paraId="4DE64AF9" w14:textId="4E1BAE9D" w:rsidR="00780555" w:rsidRPr="00780555" w:rsidRDefault="00780555" w:rsidP="0078055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780555">
        <w:rPr>
          <w:rFonts w:ascii="Arial" w:hAnsi="Arial" w:cs="Arial"/>
          <w:sz w:val="20"/>
          <w:szCs w:val="20"/>
          <w:highlight w:val="green"/>
        </w:rPr>
        <w:t>Einstellbare Dimmkurve für präzises und flackerfreies Dimmen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8BB2E24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 xml:space="preserve">230 V AC, 50 Hz </w:t>
      </w:r>
      <w:r w:rsidR="000E43B4">
        <w:rPr>
          <w:rFonts w:ascii="Arial" w:hAnsi="Arial" w:cs="Arial"/>
          <w:sz w:val="20"/>
          <w:szCs w:val="20"/>
          <w:highlight w:val="green"/>
        </w:rPr>
        <w:t>/</w:t>
      </w:r>
      <w:r w:rsidRPr="00E54AD7">
        <w:rPr>
          <w:rFonts w:ascii="Arial" w:hAnsi="Arial" w:cs="Arial"/>
          <w:sz w:val="20"/>
          <w:szCs w:val="20"/>
          <w:highlight w:val="green"/>
        </w:rPr>
        <w:t xml:space="preserve">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6FC14D5E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Schaltkanäle: 1</w:t>
      </w:r>
    </w:p>
    <w:p w14:paraId="0EBE92B6" w14:textId="76AF86A1" w:rsidR="00EE36F4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Glüh-/Halogenlampenlast: </w:t>
      </w:r>
      <w:r w:rsidR="000E43B4">
        <w:rPr>
          <w:rFonts w:ascii="Arial" w:hAnsi="Arial" w:cs="Arial"/>
          <w:sz w:val="20"/>
          <w:szCs w:val="20"/>
          <w:highlight w:val="green"/>
        </w:rPr>
        <w:t>25</w:t>
      </w:r>
      <w:r w:rsidRPr="005E31EB">
        <w:rPr>
          <w:rFonts w:ascii="Arial" w:hAnsi="Arial" w:cs="Arial"/>
          <w:sz w:val="20"/>
          <w:szCs w:val="20"/>
          <w:highlight w:val="green"/>
        </w:rPr>
        <w:t>0 W</w:t>
      </w:r>
    </w:p>
    <w:p w14:paraId="701E1FAA" w14:textId="42D94928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LED-Lampe</w:t>
      </w:r>
      <w:r w:rsidR="0072717E" w:rsidRPr="0072717E">
        <w:rPr>
          <w:rFonts w:ascii="Arial" w:hAnsi="Arial" w:cs="Arial"/>
          <w:sz w:val="20"/>
          <w:szCs w:val="20"/>
          <w:highlight w:val="green"/>
        </w:rPr>
        <w:t> (Phasenabschnitt)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: </w:t>
      </w:r>
      <w:r w:rsidR="0072717E">
        <w:rPr>
          <w:rFonts w:ascii="Arial" w:hAnsi="Arial" w:cs="Arial"/>
          <w:sz w:val="20"/>
          <w:szCs w:val="20"/>
          <w:highlight w:val="green"/>
        </w:rPr>
        <w:t>2</w:t>
      </w:r>
      <w:r w:rsidRPr="005E31EB">
        <w:rPr>
          <w:rFonts w:ascii="Arial" w:hAnsi="Arial" w:cs="Arial"/>
          <w:sz w:val="20"/>
          <w:szCs w:val="20"/>
          <w:highlight w:val="green"/>
        </w:rPr>
        <w:t>50 W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0BDB506E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72717E">
        <w:rPr>
          <w:rFonts w:ascii="Arial" w:hAnsi="Arial" w:cs="Arial"/>
          <w:sz w:val="20"/>
          <w:szCs w:val="20"/>
          <w:highlight w:val="green"/>
        </w:rPr>
        <w:t>D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1 RF KNX</w:t>
      </w:r>
    </w:p>
    <w:p w14:paraId="7EABBCD1" w14:textId="62CCCFC1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494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1</w:t>
      </w:r>
      <w:r w:rsidR="0072717E">
        <w:rPr>
          <w:rFonts w:ascii="Arial" w:hAnsi="Arial" w:cs="Arial"/>
          <w:sz w:val="20"/>
          <w:szCs w:val="20"/>
          <w:highlight w:val="green"/>
        </w:rPr>
        <w:t>67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>Wippe 1-fach WH Bestell</w:t>
      </w:r>
      <w:r w:rsidR="00B26411" w:rsidRPr="005E31EB">
        <w:rPr>
          <w:highlight w:val="green"/>
        </w:rPr>
        <w:t>nummer</w:t>
      </w:r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>Wippe 2-fach WH Bestellnummer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4B3C"/>
    <w:multiLevelType w:val="multilevel"/>
    <w:tmpl w:val="0FE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2FF9"/>
    <w:multiLevelType w:val="multilevel"/>
    <w:tmpl w:val="38D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2367"/>
    <w:multiLevelType w:val="multilevel"/>
    <w:tmpl w:val="DC8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4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455640704">
    <w:abstractNumId w:val="1"/>
  </w:num>
  <w:num w:numId="8" w16cid:durableId="908468453">
    <w:abstractNumId w:val="2"/>
  </w:num>
  <w:num w:numId="9" w16cid:durableId="159104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15212"/>
    <w:rsid w:val="000273A1"/>
    <w:rsid w:val="000E43B4"/>
    <w:rsid w:val="00113EB6"/>
    <w:rsid w:val="00121122"/>
    <w:rsid w:val="00141299"/>
    <w:rsid w:val="00143CB0"/>
    <w:rsid w:val="00146CC9"/>
    <w:rsid w:val="00147B68"/>
    <w:rsid w:val="00161174"/>
    <w:rsid w:val="001849CB"/>
    <w:rsid w:val="00220A9A"/>
    <w:rsid w:val="00224686"/>
    <w:rsid w:val="0023290E"/>
    <w:rsid w:val="00280D80"/>
    <w:rsid w:val="002810A5"/>
    <w:rsid w:val="00292378"/>
    <w:rsid w:val="002C04DF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F355D"/>
    <w:rsid w:val="0050768C"/>
    <w:rsid w:val="00534670"/>
    <w:rsid w:val="00535417"/>
    <w:rsid w:val="0055741A"/>
    <w:rsid w:val="00571EE6"/>
    <w:rsid w:val="00597A9D"/>
    <w:rsid w:val="005A4A4A"/>
    <w:rsid w:val="005C4B2E"/>
    <w:rsid w:val="005E31EB"/>
    <w:rsid w:val="005E6F97"/>
    <w:rsid w:val="00644004"/>
    <w:rsid w:val="00660D8A"/>
    <w:rsid w:val="0069022A"/>
    <w:rsid w:val="006A52F4"/>
    <w:rsid w:val="006A7016"/>
    <w:rsid w:val="006D3AB9"/>
    <w:rsid w:val="00721796"/>
    <w:rsid w:val="0072717E"/>
    <w:rsid w:val="00730474"/>
    <w:rsid w:val="00760EAF"/>
    <w:rsid w:val="00780555"/>
    <w:rsid w:val="0078472D"/>
    <w:rsid w:val="007A3921"/>
    <w:rsid w:val="007B7737"/>
    <w:rsid w:val="00807860"/>
    <w:rsid w:val="00834F25"/>
    <w:rsid w:val="00840C0D"/>
    <w:rsid w:val="008872A6"/>
    <w:rsid w:val="008E6331"/>
    <w:rsid w:val="008E7F13"/>
    <w:rsid w:val="0094776E"/>
    <w:rsid w:val="00987E10"/>
    <w:rsid w:val="00995B49"/>
    <w:rsid w:val="009C0215"/>
    <w:rsid w:val="009D7D46"/>
    <w:rsid w:val="00A053ED"/>
    <w:rsid w:val="00A11EA2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62BE"/>
    <w:rsid w:val="00B17556"/>
    <w:rsid w:val="00B26411"/>
    <w:rsid w:val="00B375B6"/>
    <w:rsid w:val="00B55963"/>
    <w:rsid w:val="00B5737F"/>
    <w:rsid w:val="00B76D4A"/>
    <w:rsid w:val="00B90959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E15AEB"/>
    <w:rsid w:val="00E50F03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Props1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10</cp:revision>
  <dcterms:created xsi:type="dcterms:W3CDTF">2024-09-10T08:43:00Z</dcterms:created>
  <dcterms:modified xsi:type="dcterms:W3CDTF">2024-09-10T08:49:00Z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