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91610F" w:rsidRDefault="00D50E65" w:rsidP="0091610F">
      <w:pPr>
        <w:pStyle w:val="berschrift1"/>
        <w:spacing w:after="240"/>
      </w:pPr>
      <w:r>
        <w:t>Präsenz</w:t>
      </w:r>
      <w:r w:rsidR="0091610F">
        <w:t>melder mit vorkonfektionierten Steckern von Wieland</w:t>
      </w:r>
      <w:r w:rsidR="00961339">
        <w:t xml:space="preserve"> GST</w:t>
      </w:r>
    </w:p>
    <w:p w:rsidR="0091610F" w:rsidRPr="003327EE" w:rsidRDefault="00D50E65" w:rsidP="0091610F">
      <w:pPr>
        <w:pStyle w:val="berschrift1"/>
        <w:spacing w:after="240"/>
      </w:pPr>
      <w:r>
        <w:t>1-Kanal Präsenz</w:t>
      </w:r>
      <w:r w:rsidR="0091610F" w:rsidRPr="003327EE">
        <w:t xml:space="preserve">melder </w:t>
      </w:r>
      <w:proofErr w:type="spellStart"/>
      <w:r>
        <w:t>theRond</w:t>
      </w:r>
      <w:r w:rsidR="00E80372">
        <w:t>a</w:t>
      </w:r>
      <w:proofErr w:type="spellEnd"/>
      <w:r w:rsidR="00E80372">
        <w:t xml:space="preserve"> P</w:t>
      </w:r>
      <w:r w:rsidR="0091610F">
        <w:t>360-100</w:t>
      </w:r>
      <w:r w:rsidR="0091610F" w:rsidRPr="003327EE">
        <w:t xml:space="preserve"> WH</w:t>
      </w:r>
      <w:r w:rsidR="0091610F">
        <w:t xml:space="preserve"> GST</w:t>
      </w:r>
    </w:p>
    <w:p w:rsidR="00D50E65" w:rsidRPr="003327EE" w:rsidRDefault="00D50E65" w:rsidP="00D50E65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Passiv-Infrarot-Präsenz</w:t>
      </w:r>
      <w:r w:rsidRPr="003327EE">
        <w:rPr>
          <w:rFonts w:ascii="Arial" w:hAnsi="Arial" w:cs="Arial"/>
        </w:rPr>
        <w:t xml:space="preserve">melder für Deckenmontage; </w:t>
      </w:r>
      <w:r>
        <w:rPr>
          <w:rFonts w:ascii="Arial" w:hAnsi="Arial" w:cs="Arial"/>
        </w:rPr>
        <w:t>Automatische präsenz</w:t>
      </w:r>
      <w:r w:rsidRPr="003327EE">
        <w:rPr>
          <w:rFonts w:ascii="Arial" w:hAnsi="Arial" w:cs="Arial"/>
        </w:rPr>
        <w:t>- und helligkeitsabhängige Ste</w:t>
      </w:r>
      <w:r>
        <w:rPr>
          <w:rFonts w:ascii="Arial" w:hAnsi="Arial" w:cs="Arial"/>
        </w:rPr>
        <w:t>uerung für Beleuchtung; Erfassungsbereich rund</w:t>
      </w:r>
      <w:r w:rsidRPr="003327EE">
        <w:rPr>
          <w:rFonts w:ascii="Arial" w:hAnsi="Arial" w:cs="Arial"/>
        </w:rPr>
        <w:t xml:space="preserve"> 360°, gehend </w:t>
      </w:r>
      <w:r>
        <w:rPr>
          <w:rFonts w:ascii="Arial" w:hAnsi="Arial" w:cs="Arial"/>
        </w:rPr>
        <w:t>bis zu 452</w:t>
      </w:r>
      <w:r w:rsidRPr="003327EE">
        <w:rPr>
          <w:rFonts w:ascii="Arial" w:hAnsi="Arial" w:cs="Arial"/>
        </w:rPr>
        <w:t xml:space="preserve"> m</w:t>
      </w:r>
      <w:r w:rsidRPr="003327EE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(Ø 24</w:t>
      </w:r>
      <w:r w:rsidRPr="003327EE">
        <w:rPr>
          <w:rFonts w:ascii="Arial" w:hAnsi="Arial" w:cs="Arial"/>
        </w:rPr>
        <w:t xml:space="preserve"> m), Montagehöhe</w:t>
      </w:r>
      <w:r w:rsidRPr="00167D6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bis zu 10 </w:t>
      </w:r>
      <w:r w:rsidRPr="003327EE">
        <w:rPr>
          <w:rFonts w:ascii="Arial" w:hAnsi="Arial" w:cs="Arial"/>
        </w:rPr>
        <w:t>m</w:t>
      </w:r>
      <w:r>
        <w:rPr>
          <w:rFonts w:ascii="Arial" w:hAnsi="Arial" w:cs="Arial"/>
        </w:rPr>
        <w:t>,</w:t>
      </w:r>
      <w:r w:rsidRPr="00DD48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Bereichseinschränkung mit Abdeckclips (optional)</w:t>
      </w:r>
      <w:r w:rsidRPr="003327EE">
        <w:rPr>
          <w:rFonts w:ascii="Arial" w:hAnsi="Arial" w:cs="Arial"/>
        </w:rPr>
        <w:t xml:space="preserve">; </w:t>
      </w:r>
    </w:p>
    <w:p w:rsidR="00D50E65" w:rsidRPr="003327EE" w:rsidRDefault="00D50E65" w:rsidP="00D50E65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 xml:space="preserve">Mischlichtmessung für Fluoreszenzlampen (FL/PL/ESL), Halogen-/Glühlampen und </w:t>
      </w:r>
      <w:proofErr w:type="spellStart"/>
      <w:r w:rsidRPr="003327EE">
        <w:rPr>
          <w:rFonts w:ascii="Arial" w:hAnsi="Arial" w:cs="Arial"/>
        </w:rPr>
        <w:t>LED</w:t>
      </w:r>
      <w:r>
        <w:rPr>
          <w:rFonts w:ascii="Arial" w:hAnsi="Arial" w:cs="Arial"/>
        </w:rPr>
        <w:t>‘</w:t>
      </w:r>
      <w:r w:rsidRPr="003327EE">
        <w:rPr>
          <w:rFonts w:ascii="Arial" w:hAnsi="Arial" w:cs="Arial"/>
        </w:rPr>
        <w:t>s</w:t>
      </w:r>
      <w:proofErr w:type="spellEnd"/>
      <w:r w:rsidRPr="003327EE">
        <w:rPr>
          <w:rFonts w:ascii="Arial" w:hAnsi="Arial" w:cs="Arial"/>
        </w:rPr>
        <w:t xml:space="preserve"> geeignet</w:t>
      </w:r>
      <w:r>
        <w:rPr>
          <w:rFonts w:ascii="Arial" w:hAnsi="Arial" w:cs="Arial"/>
        </w:rPr>
        <w:t>;</w:t>
      </w:r>
    </w:p>
    <w:p w:rsidR="00D50E65" w:rsidRPr="003327EE" w:rsidRDefault="00D50E65" w:rsidP="00D50E65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  <w:spacing w:val="-3"/>
        </w:rPr>
        <w:t xml:space="preserve">Betriebsspannung </w:t>
      </w:r>
      <w:r>
        <w:rPr>
          <w:rFonts w:ascii="Arial" w:hAnsi="Arial" w:cs="Arial"/>
          <w:spacing w:val="-3"/>
        </w:rPr>
        <w:t xml:space="preserve">110 - </w:t>
      </w:r>
      <w:r w:rsidRPr="003327EE">
        <w:rPr>
          <w:rFonts w:ascii="Arial" w:hAnsi="Arial" w:cs="Arial"/>
          <w:spacing w:val="-3"/>
        </w:rPr>
        <w:t>230 V AC / 50</w:t>
      </w:r>
      <w:r>
        <w:rPr>
          <w:rFonts w:ascii="Arial" w:hAnsi="Arial" w:cs="Arial"/>
          <w:spacing w:val="-3"/>
        </w:rPr>
        <w:t xml:space="preserve"> - 60</w:t>
      </w:r>
      <w:r w:rsidRPr="003327EE">
        <w:rPr>
          <w:rFonts w:ascii="Arial" w:hAnsi="Arial" w:cs="Arial"/>
          <w:spacing w:val="-3"/>
        </w:rPr>
        <w:t xml:space="preserve"> Hz; </w:t>
      </w:r>
      <w:r>
        <w:rPr>
          <w:rFonts w:ascii="Arial" w:hAnsi="Arial" w:cs="Arial"/>
          <w:spacing w:val="-3"/>
        </w:rPr>
        <w:t xml:space="preserve">Eigenverbrauch ca. 0.1 W, </w:t>
      </w:r>
      <w:r w:rsidRPr="003327EE">
        <w:rPr>
          <w:rFonts w:ascii="Arial" w:hAnsi="Arial" w:cs="Arial"/>
        </w:rPr>
        <w:t xml:space="preserve">Schutzart </w:t>
      </w:r>
      <w:r>
        <w:rPr>
          <w:rFonts w:ascii="Arial" w:hAnsi="Arial" w:cs="Arial"/>
        </w:rPr>
        <w:t>IP 2</w:t>
      </w:r>
      <w:r w:rsidRPr="003327EE">
        <w:rPr>
          <w:rFonts w:ascii="Arial" w:hAnsi="Arial" w:cs="Arial"/>
        </w:rPr>
        <w:t>0</w:t>
      </w:r>
      <w:r>
        <w:rPr>
          <w:rFonts w:ascii="Arial" w:hAnsi="Arial" w:cs="Arial"/>
        </w:rPr>
        <w:t>,</w:t>
      </w:r>
      <w:r w:rsidRPr="003327EE">
        <w:rPr>
          <w:rFonts w:ascii="Arial" w:hAnsi="Arial" w:cs="Arial"/>
        </w:rPr>
        <w:t xml:space="preserve"> im eingebauten Zustand</w:t>
      </w:r>
      <w:r w:rsidRPr="00EB4AB1">
        <w:rPr>
          <w:rFonts w:ascii="Arial" w:hAnsi="Arial" w:cs="Arial"/>
        </w:rPr>
        <w:t xml:space="preserve"> </w:t>
      </w:r>
      <w:r w:rsidR="001F12C7">
        <w:rPr>
          <w:rFonts w:ascii="Arial" w:hAnsi="Arial" w:cs="Arial"/>
        </w:rPr>
        <w:t>IP 54</w:t>
      </w:r>
      <w:r w:rsidRPr="003327EE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Betriebstemperatur -15° C bis +50° C;</w:t>
      </w:r>
    </w:p>
    <w:p w:rsidR="00D50E65" w:rsidRPr="003327EE" w:rsidRDefault="00D50E65" w:rsidP="00D50E65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Kanal A Licht: Relais, 1 Schliesser 230 V / 10 A, 2300 W</w:t>
      </w:r>
      <w:r>
        <w:rPr>
          <w:rFonts w:ascii="Arial" w:hAnsi="Arial" w:cs="Arial"/>
        </w:rPr>
        <w:t xml:space="preserve"> bzw. 1150 VA (cos </w:t>
      </w:r>
      <w:r>
        <w:rPr>
          <w:rFonts w:ascii="Calibri" w:hAnsi="Calibri" w:cs="Calibri"/>
        </w:rPr>
        <w:t>ϕ</w:t>
      </w:r>
      <w:r>
        <w:rPr>
          <w:rFonts w:ascii="Arial" w:hAnsi="Arial" w:cs="Arial"/>
        </w:rPr>
        <w:t xml:space="preserve"> = 0.5)</w:t>
      </w:r>
      <w:r w:rsidR="001F12C7">
        <w:rPr>
          <w:rFonts w:ascii="Arial" w:hAnsi="Arial" w:cs="Arial"/>
        </w:rPr>
        <w:t>,</w:t>
      </w:r>
      <w:r w:rsidR="001F12C7" w:rsidRPr="001F12C7">
        <w:rPr>
          <w:rFonts w:ascii="Arial" w:hAnsi="Arial" w:cs="Arial"/>
        </w:rPr>
        <w:t xml:space="preserve"> </w:t>
      </w:r>
      <w:r w:rsidR="001F12C7">
        <w:rPr>
          <w:rFonts w:ascii="Arial" w:hAnsi="Arial" w:cs="Arial"/>
        </w:rPr>
        <w:t>Einschaltstrom max. 800 A / 200 µs</w:t>
      </w:r>
      <w:r w:rsidRPr="003327EE">
        <w:rPr>
          <w:rFonts w:ascii="Arial" w:hAnsi="Arial" w:cs="Arial"/>
        </w:rPr>
        <w:t>; Bet</w:t>
      </w:r>
      <w:r>
        <w:rPr>
          <w:rFonts w:ascii="Arial" w:hAnsi="Arial" w:cs="Arial"/>
        </w:rPr>
        <w:t>rieb als Voll- oder Halbautomat</w:t>
      </w:r>
      <w:r w:rsidRPr="003327EE">
        <w:rPr>
          <w:rFonts w:ascii="Arial" w:hAnsi="Arial" w:cs="Arial"/>
        </w:rPr>
        <w:t xml:space="preserve"> umschaltbar; Helligkeitsschaltwert einstellbar ca. </w:t>
      </w:r>
      <w:r>
        <w:rPr>
          <w:rFonts w:ascii="Arial" w:hAnsi="Arial" w:cs="Arial"/>
        </w:rPr>
        <w:t>30</w:t>
      </w:r>
      <w:r w:rsidRPr="003327EE">
        <w:rPr>
          <w:rFonts w:ascii="Arial" w:hAnsi="Arial" w:cs="Arial"/>
        </w:rPr>
        <w:t xml:space="preserve"> – 3000 Lux, Teach-In Funktion; Nachlaufzeit 10 s – 60 min; Verkürzung der Nachlaufzeit bei kurzer Anwesenheit (Kurzzeit-Präsenz); Anschlussmöglichkeit für Taster oder Schalter zur manuellen Schaltung mit automatischer Erkennung Taster/Schalter;</w:t>
      </w:r>
      <w:r>
        <w:rPr>
          <w:rFonts w:ascii="Arial" w:hAnsi="Arial" w:cs="Arial"/>
        </w:rPr>
        <w:t xml:space="preserve"> </w:t>
      </w:r>
      <w:r w:rsidRPr="003327EE">
        <w:rPr>
          <w:rFonts w:ascii="Arial" w:hAnsi="Arial" w:cs="Arial"/>
        </w:rPr>
        <w:t>Impulsfunktion für Treppenlicht-Zeitschalter;</w:t>
      </w:r>
    </w:p>
    <w:p w:rsidR="00D50E65" w:rsidRPr="003327EE" w:rsidRDefault="00D50E65" w:rsidP="00D50E65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Empfindlichkeit einstellbar; </w:t>
      </w:r>
      <w:r w:rsidRPr="003327EE">
        <w:rPr>
          <w:rFonts w:ascii="Arial" w:hAnsi="Arial" w:cs="Arial"/>
        </w:rPr>
        <w:t>Durch werkseitige Voreinstellung sofort betriebsbereit; Fernp</w:t>
      </w:r>
      <w:r>
        <w:rPr>
          <w:rFonts w:ascii="Arial" w:hAnsi="Arial" w:cs="Arial"/>
        </w:rPr>
        <w:t xml:space="preserve">arametrierbar mit Fernbedienung; </w:t>
      </w:r>
      <w:r w:rsidRPr="003327EE">
        <w:rPr>
          <w:rFonts w:ascii="Arial" w:hAnsi="Arial" w:cs="Arial"/>
        </w:rPr>
        <w:t>Testbetrieb zur Überprüfung von Funktion und Erfassungsbereich</w:t>
      </w:r>
      <w:r>
        <w:rPr>
          <w:rFonts w:ascii="Arial" w:hAnsi="Arial" w:cs="Arial"/>
        </w:rPr>
        <w:t>;</w:t>
      </w:r>
    </w:p>
    <w:p w:rsidR="001F12C7" w:rsidRDefault="001F12C7" w:rsidP="001F12C7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Montage in Hohldecken mit Federn, Deckenausschnitt Ø 73 mm, Einbautiefe 79 mm;</w:t>
      </w:r>
    </w:p>
    <w:p w:rsidR="00E80372" w:rsidRPr="002C6314" w:rsidRDefault="00E80372" w:rsidP="00E80372">
      <w:pPr>
        <w:spacing w:after="240"/>
        <w:rPr>
          <w:rFonts w:ascii="Arial" w:hAnsi="Arial" w:cs="Arial"/>
          <w:sz w:val="20"/>
          <w:lang w:val="de-CH"/>
        </w:rPr>
      </w:pPr>
    </w:p>
    <w:p w:rsidR="0091610F" w:rsidRPr="001F12C7" w:rsidRDefault="0091610F" w:rsidP="0091610F">
      <w:pPr>
        <w:spacing w:after="240"/>
        <w:rPr>
          <w:rFonts w:ascii="Arial" w:hAnsi="Arial" w:cs="Arial"/>
          <w:sz w:val="20"/>
          <w:lang w:val="en-US"/>
        </w:rPr>
      </w:pPr>
      <w:proofErr w:type="spellStart"/>
      <w:r w:rsidRPr="001F12C7">
        <w:rPr>
          <w:rFonts w:ascii="Arial" w:hAnsi="Arial" w:cs="Arial"/>
          <w:sz w:val="20"/>
          <w:lang w:val="en-US"/>
        </w:rPr>
        <w:t>Fabrikat</w:t>
      </w:r>
      <w:proofErr w:type="spellEnd"/>
      <w:r w:rsidR="00CB3A62" w:rsidRPr="001F12C7">
        <w:rPr>
          <w:rFonts w:ascii="Arial" w:hAnsi="Arial" w:cs="Arial"/>
          <w:sz w:val="20"/>
          <w:lang w:val="en-US"/>
        </w:rPr>
        <w:t>: Theben</w:t>
      </w:r>
    </w:p>
    <w:p w:rsidR="0091610F" w:rsidRPr="001F12C7" w:rsidRDefault="0091610F" w:rsidP="0091610F">
      <w:pPr>
        <w:rPr>
          <w:rFonts w:ascii="Arial" w:hAnsi="Arial" w:cs="Arial"/>
          <w:sz w:val="20"/>
          <w:lang w:val="en-US"/>
        </w:rPr>
      </w:pPr>
      <w:proofErr w:type="spellStart"/>
      <w:r w:rsidRPr="001F12C7">
        <w:rPr>
          <w:rFonts w:ascii="Arial" w:hAnsi="Arial" w:cs="Arial"/>
          <w:sz w:val="20"/>
          <w:lang w:val="en-US"/>
        </w:rPr>
        <w:t>Typ</w:t>
      </w:r>
      <w:proofErr w:type="spellEnd"/>
      <w:r w:rsidRPr="001F12C7">
        <w:rPr>
          <w:rFonts w:ascii="Arial" w:hAnsi="Arial" w:cs="Arial"/>
          <w:sz w:val="20"/>
          <w:lang w:val="en-US"/>
        </w:rPr>
        <w:t xml:space="preserve">: </w:t>
      </w:r>
      <w:proofErr w:type="spellStart"/>
      <w:r w:rsidR="001F12C7" w:rsidRPr="001F12C7">
        <w:rPr>
          <w:rFonts w:ascii="Arial" w:hAnsi="Arial" w:cs="Arial"/>
          <w:sz w:val="20"/>
          <w:lang w:val="en-US"/>
        </w:rPr>
        <w:t>theRonda</w:t>
      </w:r>
      <w:proofErr w:type="spellEnd"/>
      <w:r w:rsidR="00E80372" w:rsidRPr="001F12C7">
        <w:rPr>
          <w:rFonts w:ascii="Arial" w:hAnsi="Arial" w:cs="Arial"/>
          <w:sz w:val="20"/>
          <w:lang w:val="en-US"/>
        </w:rPr>
        <w:t xml:space="preserve"> P</w:t>
      </w:r>
      <w:r w:rsidR="00CB3A62" w:rsidRPr="001F12C7">
        <w:rPr>
          <w:rFonts w:ascii="Arial" w:hAnsi="Arial" w:cs="Arial"/>
          <w:sz w:val="20"/>
          <w:lang w:val="en-US"/>
        </w:rPr>
        <w:t>360-100 WH GST (Weiss)</w:t>
      </w:r>
    </w:p>
    <w:p w:rsidR="0091610F" w:rsidRPr="0056589E" w:rsidRDefault="001F12C7" w:rsidP="0091610F">
      <w:pPr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>Bestell-Nr.: 208</w:t>
      </w:r>
      <w:r w:rsidR="0091610F" w:rsidRPr="0056589E">
        <w:rPr>
          <w:rFonts w:ascii="Arial" w:hAnsi="Arial" w:cs="Arial"/>
          <w:sz w:val="20"/>
          <w:lang w:val="de-CH"/>
        </w:rPr>
        <w:t>0</w:t>
      </w:r>
      <w:r>
        <w:rPr>
          <w:rFonts w:ascii="Arial" w:hAnsi="Arial" w:cs="Arial"/>
          <w:sz w:val="20"/>
          <w:lang w:val="de-CH"/>
        </w:rPr>
        <w:t>0</w:t>
      </w:r>
      <w:r w:rsidR="00E80372" w:rsidRPr="0056589E">
        <w:rPr>
          <w:rFonts w:ascii="Arial" w:hAnsi="Arial" w:cs="Arial"/>
          <w:sz w:val="20"/>
          <w:lang w:val="de-CH"/>
        </w:rPr>
        <w:t>1</w:t>
      </w:r>
      <w:r w:rsidR="0091610F" w:rsidRPr="0056589E">
        <w:rPr>
          <w:rFonts w:ascii="Arial" w:hAnsi="Arial" w:cs="Arial"/>
          <w:sz w:val="20"/>
          <w:lang w:val="de-CH"/>
        </w:rPr>
        <w:t>0</w:t>
      </w:r>
    </w:p>
    <w:p w:rsidR="0091610F" w:rsidRPr="0056589E" w:rsidRDefault="0091610F" w:rsidP="0091610F">
      <w:pPr>
        <w:rPr>
          <w:rFonts w:ascii="Arial" w:hAnsi="Arial" w:cs="Arial"/>
          <w:sz w:val="20"/>
          <w:lang w:val="de-CH"/>
        </w:rPr>
      </w:pPr>
    </w:p>
    <w:p w:rsidR="0091610F" w:rsidRPr="003327EE" w:rsidRDefault="0091610F" w:rsidP="0091610F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Einheit: ST</w:t>
      </w:r>
    </w:p>
    <w:p w:rsidR="0091610F" w:rsidRPr="003327EE" w:rsidRDefault="0091610F" w:rsidP="0091610F">
      <w:pPr>
        <w:rPr>
          <w:rFonts w:ascii="Arial" w:hAnsi="Arial" w:cs="Arial"/>
          <w:sz w:val="20"/>
        </w:rPr>
      </w:pPr>
    </w:p>
    <w:p w:rsidR="0091610F" w:rsidRPr="003327EE" w:rsidRDefault="0091610F" w:rsidP="0091610F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Zubehör</w:t>
      </w:r>
    </w:p>
    <w:p w:rsidR="0091610F" w:rsidRPr="003327EE" w:rsidRDefault="0091610F" w:rsidP="0091610F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Management-Fernbedienung „</w:t>
      </w:r>
      <w:proofErr w:type="spellStart"/>
      <w:r w:rsidRPr="003327EE">
        <w:rPr>
          <w:rFonts w:ascii="Arial" w:hAnsi="Arial" w:cs="Arial"/>
          <w:sz w:val="20"/>
        </w:rPr>
        <w:t>SendoPro</w:t>
      </w:r>
      <w:proofErr w:type="spellEnd"/>
      <w:r w:rsidRPr="003327EE">
        <w:rPr>
          <w:rFonts w:ascii="Arial" w:hAnsi="Arial" w:cs="Arial"/>
          <w:sz w:val="20"/>
        </w:rPr>
        <w:t xml:space="preserve"> 868-A“</w:t>
      </w:r>
    </w:p>
    <w:p w:rsidR="0091610F" w:rsidRPr="003327EE" w:rsidRDefault="0091610F" w:rsidP="0091610F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91610F" w:rsidRPr="003327EE" w:rsidRDefault="0091610F" w:rsidP="0091610F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 xml:space="preserve">Für Inbetriebnahme oder Anpassung an Nutzungsbedingungen für den Installateur. </w:t>
      </w:r>
    </w:p>
    <w:p w:rsidR="0091610F" w:rsidRPr="003327EE" w:rsidRDefault="0091610F" w:rsidP="0091610F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 xml:space="preserve">Text Bedienerführung im Display. Übertragung von einzelnen Einstellwerten oder ganzen Parametersets an den Melder möglich. Passend für alle ferneinstellbaren </w:t>
      </w:r>
      <w:proofErr w:type="spellStart"/>
      <w:r w:rsidRPr="003327EE">
        <w:rPr>
          <w:rFonts w:ascii="Arial" w:hAnsi="Arial" w:cs="Arial"/>
          <w:sz w:val="20"/>
        </w:rPr>
        <w:t>thebenHTS</w:t>
      </w:r>
      <w:proofErr w:type="spellEnd"/>
      <w:r w:rsidRPr="003327EE">
        <w:rPr>
          <w:rFonts w:ascii="Arial" w:hAnsi="Arial" w:cs="Arial"/>
          <w:sz w:val="20"/>
        </w:rPr>
        <w:t xml:space="preserve"> Präsenzmelder.</w:t>
      </w:r>
    </w:p>
    <w:p w:rsidR="0091610F" w:rsidRPr="003327EE" w:rsidRDefault="00CB3A62" w:rsidP="0091610F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1610F" w:rsidRPr="003327EE">
        <w:rPr>
          <w:rFonts w:ascii="Arial" w:hAnsi="Arial" w:cs="Arial"/>
          <w:sz w:val="20"/>
        </w:rPr>
        <w:t>-Nr.: 9070675</w:t>
      </w:r>
    </w:p>
    <w:p w:rsidR="0091610F" w:rsidRPr="003327EE" w:rsidRDefault="0091610F" w:rsidP="0091610F">
      <w:pPr>
        <w:rPr>
          <w:rFonts w:ascii="Arial" w:hAnsi="Arial" w:cs="Arial"/>
          <w:sz w:val="20"/>
        </w:rPr>
      </w:pPr>
    </w:p>
    <w:p w:rsidR="0091610F" w:rsidRPr="003327EE" w:rsidRDefault="0091610F" w:rsidP="0091610F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Service-Fernbedienung „</w:t>
      </w:r>
      <w:proofErr w:type="spellStart"/>
      <w:r w:rsidRPr="003327EE">
        <w:rPr>
          <w:rFonts w:ascii="Arial" w:hAnsi="Arial" w:cs="Arial"/>
          <w:sz w:val="20"/>
        </w:rPr>
        <w:t>theSenda</w:t>
      </w:r>
      <w:proofErr w:type="spellEnd"/>
      <w:r w:rsidRPr="003327EE">
        <w:rPr>
          <w:rFonts w:ascii="Arial" w:hAnsi="Arial" w:cs="Arial"/>
          <w:sz w:val="20"/>
        </w:rPr>
        <w:t xml:space="preserve"> P“</w:t>
      </w:r>
    </w:p>
    <w:p w:rsidR="0091610F" w:rsidRPr="003327EE" w:rsidRDefault="0091610F" w:rsidP="0091610F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91610F" w:rsidRPr="003327EE" w:rsidRDefault="0091610F" w:rsidP="0091610F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Pr="003327EE">
        <w:rPr>
          <w:rFonts w:ascii="Arial" w:hAnsi="Arial" w:cs="Arial"/>
          <w:sz w:val="20"/>
        </w:rPr>
        <w:t>-Nr.: 9070910</w:t>
      </w:r>
    </w:p>
    <w:p w:rsidR="0091610F" w:rsidRPr="003327EE" w:rsidRDefault="0091610F" w:rsidP="0091610F">
      <w:pPr>
        <w:rPr>
          <w:rFonts w:ascii="Arial" w:hAnsi="Arial" w:cs="Arial"/>
          <w:sz w:val="20"/>
        </w:rPr>
      </w:pPr>
    </w:p>
    <w:p w:rsidR="0091610F" w:rsidRPr="003327EE" w:rsidRDefault="0091610F" w:rsidP="0091610F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Benutzer-Fernbedienung „</w:t>
      </w:r>
      <w:proofErr w:type="spellStart"/>
      <w:r w:rsidRPr="003327EE">
        <w:rPr>
          <w:rFonts w:ascii="Arial" w:hAnsi="Arial" w:cs="Arial"/>
          <w:sz w:val="20"/>
        </w:rPr>
        <w:t>theSenda</w:t>
      </w:r>
      <w:proofErr w:type="spellEnd"/>
      <w:r w:rsidRPr="003327EE">
        <w:rPr>
          <w:rFonts w:ascii="Arial" w:hAnsi="Arial" w:cs="Arial"/>
          <w:sz w:val="20"/>
        </w:rPr>
        <w:t xml:space="preserve"> S“</w:t>
      </w:r>
    </w:p>
    <w:p w:rsidR="0091610F" w:rsidRPr="003327EE" w:rsidRDefault="0091610F" w:rsidP="0091610F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91610F" w:rsidRPr="003327EE" w:rsidRDefault="0091610F" w:rsidP="0091610F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Pr="003327EE">
        <w:rPr>
          <w:rFonts w:ascii="Arial" w:hAnsi="Arial" w:cs="Arial"/>
          <w:sz w:val="20"/>
        </w:rPr>
        <w:t>-Nr.: 9070911</w:t>
      </w:r>
    </w:p>
    <w:p w:rsidR="009E1A69" w:rsidRDefault="009E1A69">
      <w:pPr>
        <w:rPr>
          <w:rFonts w:ascii="Arial" w:hAnsi="Arial" w:cs="Arial"/>
          <w:bCs/>
          <w:sz w:val="20"/>
        </w:rPr>
      </w:pPr>
    </w:p>
    <w:p w:rsidR="0056589E" w:rsidRPr="003327EE" w:rsidRDefault="0056589E" w:rsidP="0056589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Abdeckclip für Bereichseinschränkung</w:t>
      </w:r>
    </w:p>
    <w:p w:rsidR="0056589E" w:rsidRPr="003327EE" w:rsidRDefault="0056589E" w:rsidP="0056589E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56589E" w:rsidRPr="003327EE" w:rsidRDefault="0056589E" w:rsidP="0056589E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Bestell-Nr.: 9070921</w:t>
      </w:r>
    </w:p>
    <w:p w:rsidR="0056589E" w:rsidRDefault="0056589E">
      <w:pPr>
        <w:rPr>
          <w:rFonts w:ascii="Arial" w:hAnsi="Arial" w:cs="Arial"/>
          <w:bCs/>
          <w:sz w:val="20"/>
        </w:rPr>
      </w:pPr>
    </w:p>
    <w:sectPr w:rsidR="0056589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0B4D"/>
    <w:rsid w:val="001F12C7"/>
    <w:rsid w:val="004D14C7"/>
    <w:rsid w:val="0056589E"/>
    <w:rsid w:val="008F64CE"/>
    <w:rsid w:val="00900B4D"/>
    <w:rsid w:val="0091610F"/>
    <w:rsid w:val="00961339"/>
    <w:rsid w:val="009E1A69"/>
    <w:rsid w:val="00BC6EA5"/>
    <w:rsid w:val="00C1238E"/>
    <w:rsid w:val="00CB3A62"/>
    <w:rsid w:val="00D50E65"/>
    <w:rsid w:val="00E80372"/>
    <w:rsid w:val="00F6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EA1702-24E5-B846-BB52-D99314C06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sz w:val="20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1610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uiPriority w:val="9"/>
    <w:semiHidden/>
    <w:rsid w:val="0091610F"/>
    <w:rPr>
      <w:rFonts w:ascii="Cambria" w:eastAsia="Times New Roman" w:hAnsi="Cambria" w:cs="Times New Roman"/>
      <w:b/>
      <w:bCs/>
      <w:sz w:val="26"/>
      <w:szCs w:val="26"/>
      <w:lang w:val="de-DE" w:eastAsia="de-DE"/>
    </w:rPr>
  </w:style>
  <w:style w:type="paragraph" w:customStyle="1" w:styleId="Aufzhlung">
    <w:name w:val="Aufzählung"/>
    <w:basedOn w:val="Standard"/>
    <w:uiPriority w:val="99"/>
    <w:rsid w:val="0091610F"/>
    <w:pPr>
      <w:tabs>
        <w:tab w:val="left" w:pos="300"/>
      </w:tabs>
      <w:autoSpaceDE w:val="0"/>
      <w:autoSpaceDN w:val="0"/>
      <w:adjustRightInd w:val="0"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szCs w:val="20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1746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1-Kanal EIB/KNX Bewegungsmelder für Deckeneinbau SPHINX 330 (SPHINX 330)</vt:lpstr>
    </vt:vector>
  </TitlesOfParts>
  <Company>Theben AG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1-Kanal EIB/KNX Bewegungsmelder für Deckeneinbau SPHINX 330 (SPHINX 330)</dc:title>
  <dc:subject/>
  <dc:creator>ti</dc:creator>
  <cp:keywords/>
  <cp:lastModifiedBy>Jürgen Schwitzer</cp:lastModifiedBy>
  <cp:revision>2</cp:revision>
  <cp:lastPrinted>2016-03-09T08:01:00Z</cp:lastPrinted>
  <dcterms:created xsi:type="dcterms:W3CDTF">2026-10-15T14:16:00Z</dcterms:created>
  <dcterms:modified xsi:type="dcterms:W3CDTF">2026-10-15T14:16:00Z</dcterms:modified>
</cp:coreProperties>
</file>