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D5108" w:rsidRDefault="004904E5" w:rsidP="006D4E11">
      <w:pPr>
        <w:pStyle w:val="berschrift1"/>
        <w:spacing w:after="24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331.75pt;margin-top:.4pt;width:101.45pt;height:120pt;z-index:251657728;mso-wrap-edited:f;mso-width-percent:0;mso-height-percent:0;mso-width-percent:0;mso-height-percent:0">
            <v:imagedata r:id="rId10" o:title=""/>
            <w10:wrap type="square"/>
          </v:shape>
        </w:pict>
      </w:r>
      <w:r w:rsidR="006D4E11" w:rsidRPr="004D5108">
        <w:rPr>
          <w:rFonts w:ascii="Arial" w:hAnsi="Arial" w:cs="Arial"/>
        </w:rPr>
        <w:t>Ausschreibungstext</w:t>
      </w:r>
    </w:p>
    <w:p w:rsidR="001B336C" w:rsidRDefault="009E7976" w:rsidP="001B336C">
      <w:pPr>
        <w:pStyle w:val="berschrift1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Mini-</w:t>
      </w:r>
      <w:r w:rsidR="00B065D4">
        <w:rPr>
          <w:rFonts w:ascii="Arial" w:hAnsi="Arial" w:cs="Arial"/>
          <w:szCs w:val="28"/>
        </w:rPr>
        <w:t>Präsenz</w:t>
      </w:r>
      <w:r w:rsidR="00427F4D">
        <w:rPr>
          <w:rFonts w:ascii="Arial" w:hAnsi="Arial" w:cs="Arial"/>
          <w:szCs w:val="28"/>
        </w:rPr>
        <w:t>melder</w:t>
      </w:r>
    </w:p>
    <w:p w:rsidR="00D00BF0" w:rsidRPr="009E7976" w:rsidRDefault="009E7976" w:rsidP="001B336C">
      <w:pPr>
        <w:pStyle w:val="berschrift1"/>
        <w:rPr>
          <w:rFonts w:ascii="Arial" w:hAnsi="Arial" w:cs="Arial"/>
          <w:szCs w:val="28"/>
        </w:rPr>
      </w:pPr>
      <w:r w:rsidRPr="009E7976">
        <w:rPr>
          <w:rFonts w:ascii="Arial" w:hAnsi="Arial" w:cs="Arial"/>
          <w:szCs w:val="28"/>
        </w:rPr>
        <w:t>thePiccola P360 KNX DE WH</w:t>
      </w:r>
    </w:p>
    <w:p w:rsidR="00427F4D" w:rsidRPr="004D5108" w:rsidRDefault="00427F4D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Bestell-Nr. Weiß: </w:t>
      </w:r>
      <w:r w:rsidR="009E7976">
        <w:rPr>
          <w:rFonts w:ascii="Arial" w:hAnsi="Arial" w:cs="Arial"/>
          <w:b/>
          <w:sz w:val="20"/>
        </w:rPr>
        <w:t>2099200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9E7976" w:rsidRDefault="00F50BD0" w:rsidP="00986F7F">
      <w:pPr>
        <w:pStyle w:val="Aufzhlung"/>
        <w:spacing w:after="120"/>
        <w:ind w:left="0" w:firstLine="0"/>
        <w:rPr>
          <w:rFonts w:ascii="Arial" w:hAnsi="Arial" w:cs="Arial"/>
          <w:lang w:val="de-DE"/>
        </w:rPr>
      </w:pPr>
      <w:r w:rsidRPr="009E7976">
        <w:rPr>
          <w:rFonts w:ascii="Arial" w:hAnsi="Arial" w:cs="Arial"/>
          <w:lang w:val="de-DE"/>
        </w:rPr>
        <w:t>Merkmale</w:t>
      </w:r>
      <w:r w:rsidR="006C784A" w:rsidRPr="009E7976">
        <w:rPr>
          <w:rFonts w:ascii="Arial" w:hAnsi="Arial" w:cs="Arial"/>
          <w:lang w:val="de-DE"/>
        </w:rPr>
        <w:t>:</w:t>
      </w:r>
      <w:r w:rsidR="00E92A11" w:rsidRPr="009E7976">
        <w:rPr>
          <w:rFonts w:ascii="Arial" w:hAnsi="Arial" w:cs="Arial"/>
          <w:lang w:val="de-DE"/>
        </w:rPr>
        <w:t xml:space="preserve"> </w:t>
      </w:r>
    </w:p>
    <w:p w:rsidR="009E7976" w:rsidRPr="009E7976" w:rsidRDefault="009E7976" w:rsidP="009E7976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 w:rsidRPr="009E7976">
        <w:rPr>
          <w:rFonts w:ascii="Arial" w:hAnsi="Arial" w:cs="Arial"/>
          <w:lang w:val="de-DE"/>
        </w:rPr>
        <w:t>Passiv-Infrarot-Präsenzmelder für Deckenmontage DE</w:t>
      </w:r>
    </w:p>
    <w:p w:rsidR="003B47C4" w:rsidRPr="009E7976" w:rsidRDefault="009E7976" w:rsidP="009E7976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 w:rsidRPr="009E7976">
        <w:rPr>
          <w:rFonts w:ascii="Arial" w:hAnsi="Arial" w:cs="Arial"/>
          <w:lang w:val="de-DE"/>
        </w:rPr>
        <w:t xml:space="preserve">Runder Erfassungsbereich 360°, Ø 8 m, (50 m2) bei 2,5 m Montagehöhe </w:t>
      </w:r>
      <w:r w:rsidR="003B47C4" w:rsidRPr="009E7976">
        <w:rPr>
          <w:rFonts w:ascii="Arial" w:hAnsi="Arial" w:cs="Arial"/>
          <w:lang w:val="de-DE"/>
        </w:rPr>
        <w:t>Einschränkung des Erfassungsbereichs mit Abdeckclips</w:t>
      </w:r>
    </w:p>
    <w:p w:rsidR="003B47C4" w:rsidRPr="009E7976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 w:rsidRPr="003B47C4">
        <w:rPr>
          <w:rFonts w:ascii="Arial" w:hAnsi="Arial" w:cs="Arial"/>
          <w:lang w:val="de-DE"/>
        </w:rPr>
        <w:t>Auch für Anwendungen</w:t>
      </w:r>
      <w:r w:rsidR="009E7976">
        <w:rPr>
          <w:rFonts w:ascii="Arial" w:hAnsi="Arial" w:cs="Arial"/>
          <w:lang w:val="de-DE"/>
        </w:rPr>
        <w:t xml:space="preserve"> in Feuchträumen geeignet</w:t>
      </w:r>
    </w:p>
    <w:p w:rsidR="003B47C4" w:rsidRPr="009E7976" w:rsidRDefault="003B47C4" w:rsidP="009E7976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 w:rsidRPr="003B47C4">
        <w:rPr>
          <w:rFonts w:ascii="Arial" w:hAnsi="Arial" w:cs="Arial"/>
          <w:lang w:val="de-DE"/>
        </w:rPr>
        <w:t>Schutzart IP 5</w:t>
      </w:r>
      <w:r w:rsidR="009E7976">
        <w:rPr>
          <w:rFonts w:ascii="Arial" w:hAnsi="Arial" w:cs="Arial"/>
          <w:lang w:val="de-DE"/>
        </w:rPr>
        <w:t>5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KNX Data Secure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Automatische präsenz- und helligkeitsabhängige Steuerung für Beleuchtung und HLK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Schalten oder Konstantlichtregelung mit Stand-by-Funktionalität (Orientierungslicht)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 xml:space="preserve">Wählbare Regelgeschwindigkeit 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Dimmbare Beleuchtung im Schaltbetrieb mit und ohne Tageslichteinfluss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Bereichseinschränkung im Lieferumfang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2 Kanäle Licht C1, C2 mit 1 Lichtmessung</w:t>
      </w:r>
    </w:p>
    <w:p w:rsidR="008625FB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2 Kanäle HKL C4, C5, einzeln parametrierbar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Integrierter Temperatursensor</w:t>
      </w:r>
    </w:p>
    <w:p w:rsidR="003B47C4" w:rsidRPr="003B47C4" w:rsidRDefault="009E7976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6</w:t>
      </w:r>
      <w:r w:rsidR="003B47C4" w:rsidRPr="003B47C4">
        <w:rPr>
          <w:rFonts w:ascii="Arial" w:hAnsi="Arial" w:cs="Arial"/>
          <w:color w:val="auto"/>
        </w:rPr>
        <w:t xml:space="preserve"> Logikkanäle (UND/ODER/XOR)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Mischlichtmessung für Fluoreszenzlampen (FL/PL/ESL), Halogen-/Glühlampen und LED‘s geeignet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Einfacher Abgleich der Helligkeitsmessung mit Eingabe des gemessenen Lux-Wertes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Betrieb als Voll- oder Halbautomat, automatisches Umschalten auf Halbautomat bei Nacht möglich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Verkürzung der Nachlaufzeit bei kurzer Anwesenheit (Kurzzeit-Präsenz)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 xml:space="preserve">Tag-/Nacht-Umschaltung </w:t>
      </w:r>
      <w:r w:rsidR="003B47C4">
        <w:rPr>
          <w:rFonts w:ascii="Arial" w:hAnsi="Arial" w:cs="Arial"/>
          <w:color w:val="auto"/>
        </w:rPr>
        <w:t>über</w:t>
      </w:r>
      <w:r w:rsidRPr="003B47C4">
        <w:rPr>
          <w:rFonts w:ascii="Arial" w:hAnsi="Arial" w:cs="Arial"/>
          <w:color w:val="auto"/>
        </w:rPr>
        <w:t xml:space="preserve"> Telegramm</w:t>
      </w:r>
    </w:p>
    <w:p w:rsidR="008625FB" w:rsidRDefault="009E7976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Aurafunktion</w:t>
      </w:r>
    </w:p>
    <w:p w:rsidR="009E7976" w:rsidRPr="003B47C4" w:rsidRDefault="009E7976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Raumüberwachungsfunktion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 xml:space="preserve">Rote LED </w:t>
      </w:r>
      <w:r w:rsidR="003B47C4">
        <w:rPr>
          <w:rFonts w:ascii="Arial" w:hAnsi="Arial" w:cs="Arial"/>
          <w:color w:val="auto"/>
        </w:rPr>
        <w:t xml:space="preserve">über </w:t>
      </w:r>
      <w:r w:rsidRPr="003B47C4">
        <w:rPr>
          <w:rFonts w:ascii="Arial" w:hAnsi="Arial" w:cs="Arial"/>
          <w:color w:val="auto"/>
        </w:rPr>
        <w:t>Objekt</w:t>
      </w:r>
      <w:r w:rsidR="003B47C4">
        <w:rPr>
          <w:rFonts w:ascii="Arial" w:hAnsi="Arial" w:cs="Arial"/>
          <w:color w:val="auto"/>
        </w:rPr>
        <w:t xml:space="preserve"> </w:t>
      </w:r>
      <w:r w:rsidR="003B47C4" w:rsidRPr="003B47C4">
        <w:rPr>
          <w:rFonts w:ascii="Arial" w:hAnsi="Arial" w:cs="Arial"/>
          <w:color w:val="auto"/>
        </w:rPr>
        <w:t>steuerbar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Fernparametrierbar mit Fernbedienung</w:t>
      </w:r>
    </w:p>
    <w:p w:rsidR="008625FB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 xml:space="preserve">Szenenfunktionalität 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Teach-In Funktion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 xml:space="preserve">Testbetrieb zur Überprüfung von Funktion und Erfassungsbereich 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Parallelschaltung mehrerer Präsenzmelder (Master/Slave- oder Master/Master)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 w:rsidRPr="003B47C4">
        <w:rPr>
          <w:rFonts w:ascii="Arial" w:hAnsi="Arial" w:cs="Arial"/>
          <w:lang w:val="de-DE"/>
        </w:rPr>
        <w:t>Durch werkseitige Voreinstellung sofort betriebsbereit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 w:rsidRPr="003B47C4">
        <w:rPr>
          <w:rFonts w:ascii="Arial" w:hAnsi="Arial" w:cs="Arial"/>
          <w:lang w:val="de-DE"/>
        </w:rPr>
        <w:t xml:space="preserve">Die Änderungen der Werte und Einstellungen </w:t>
      </w:r>
      <w:r w:rsidR="007207C9">
        <w:rPr>
          <w:rFonts w:ascii="Arial" w:hAnsi="Arial" w:cs="Arial"/>
          <w:lang w:val="de-DE"/>
        </w:rPr>
        <w:t>per ETS</w:t>
      </w:r>
      <w:r w:rsidRPr="003B47C4">
        <w:rPr>
          <w:rFonts w:ascii="Arial" w:hAnsi="Arial" w:cs="Arial"/>
          <w:lang w:val="de-DE"/>
        </w:rPr>
        <w:t xml:space="preserve"> und mit einer dieser optionalen Fernbedienungen möglich: App-/Universal-Fernbedienung theSenda B, Service-Fernbedienung theSenda P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 w:rsidRPr="003B47C4">
        <w:rPr>
          <w:rFonts w:ascii="Arial" w:hAnsi="Arial" w:cs="Arial"/>
          <w:lang w:val="de-DE"/>
        </w:rPr>
        <w:t>Optionale Benutzer-Fernbedienung zur manuellen Übersteuerung theSenda S/theSenda B</w:t>
      </w:r>
    </w:p>
    <w:p w:rsidR="008625FB" w:rsidRDefault="008625FB" w:rsidP="008625FB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</w:p>
    <w:p w:rsidR="008625FB" w:rsidRDefault="00A853E7" w:rsidP="008625FB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>
        <w:rPr>
          <w:rFonts w:ascii="Arial" w:hAnsi="Arial" w:cs="Arial"/>
          <w:spacing w:val="-3"/>
          <w:u w:val="single"/>
        </w:rPr>
        <w:br w:type="page"/>
      </w:r>
      <w:r w:rsidR="008625FB">
        <w:rPr>
          <w:rFonts w:ascii="Arial" w:hAnsi="Arial" w:cs="Arial"/>
          <w:spacing w:val="-3"/>
          <w:u w:val="single"/>
        </w:rPr>
        <w:lastRenderedPageBreak/>
        <w:t>Technische Daten:</w:t>
      </w:r>
    </w:p>
    <w:p w:rsidR="008625FB" w:rsidRDefault="008625FB" w:rsidP="008625FB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Betriebsspannung: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Busspannung KNX, max. 32 V</w:t>
      </w:r>
    </w:p>
    <w:p w:rsidR="008625FB" w:rsidRPr="00255F78" w:rsidRDefault="008625FB" w:rsidP="008625FB">
      <w:pPr>
        <w:pStyle w:val="Aufzhlung"/>
        <w:ind w:left="0" w:firstLine="0"/>
        <w:rPr>
          <w:rFonts w:ascii="Arial" w:hAnsi="Arial" w:cs="Arial"/>
          <w:bCs/>
          <w:spacing w:val="-3"/>
        </w:rPr>
      </w:pPr>
      <w:r w:rsidRPr="00255F78">
        <w:rPr>
          <w:rFonts w:ascii="Arial" w:hAnsi="Arial" w:cs="Arial"/>
          <w:bCs/>
          <w:spacing w:val="-3"/>
        </w:rPr>
        <w:t xml:space="preserve">Eigenverbrauch: </w:t>
      </w:r>
      <w:r w:rsidRPr="00255F78">
        <w:rPr>
          <w:rFonts w:ascii="Arial" w:hAnsi="Arial" w:cs="Arial"/>
          <w:bCs/>
          <w:spacing w:val="-3"/>
        </w:rPr>
        <w:tab/>
      </w:r>
      <w:r w:rsidRPr="00255F78">
        <w:rPr>
          <w:rFonts w:ascii="Arial" w:hAnsi="Arial" w:cs="Arial"/>
          <w:bCs/>
          <w:spacing w:val="-3"/>
        </w:rPr>
        <w:tab/>
      </w:r>
      <w:r w:rsidRPr="00255F78">
        <w:rPr>
          <w:rFonts w:ascii="Arial" w:hAnsi="Arial" w:cs="Arial"/>
          <w:bCs/>
          <w:spacing w:val="-3"/>
        </w:rPr>
        <w:tab/>
        <w:t xml:space="preserve">&lt; </w:t>
      </w:r>
      <w:r w:rsidR="009E7976">
        <w:rPr>
          <w:rFonts w:ascii="Arial" w:hAnsi="Arial" w:cs="Arial"/>
          <w:bCs/>
          <w:spacing w:val="-3"/>
        </w:rPr>
        <w:t>7,5</w:t>
      </w:r>
      <w:r w:rsidRPr="00255F78">
        <w:rPr>
          <w:rFonts w:ascii="Arial" w:hAnsi="Arial" w:cs="Arial"/>
          <w:bCs/>
          <w:spacing w:val="-3"/>
        </w:rPr>
        <w:t>mA (typisch)</w:t>
      </w:r>
    </w:p>
    <w:p w:rsidR="008625FB" w:rsidRDefault="008625FB" w:rsidP="008625FB">
      <w:pPr>
        <w:pStyle w:val="Aufzhlung"/>
        <w:tabs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Helligkeits-Sollwert: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5 – </w:t>
      </w:r>
      <w:r w:rsidR="009E7976">
        <w:rPr>
          <w:rFonts w:ascii="Arial" w:hAnsi="Arial" w:cs="Arial"/>
        </w:rPr>
        <w:t>3</w:t>
      </w:r>
      <w:r>
        <w:rPr>
          <w:rFonts w:ascii="Arial" w:hAnsi="Arial" w:cs="Arial"/>
        </w:rPr>
        <w:t>000 Lux</w:t>
      </w:r>
      <w:r w:rsidR="003B47C4">
        <w:rPr>
          <w:rFonts w:ascii="Arial" w:hAnsi="Arial" w:cs="Arial"/>
        </w:rPr>
        <w:t>, Messung aus</w:t>
      </w:r>
    </w:p>
    <w:p w:rsidR="008625FB" w:rsidRDefault="008625FB" w:rsidP="008625FB">
      <w:pPr>
        <w:pStyle w:val="Aufzhlung"/>
        <w:tabs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Nachlaufzeit Licht: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30 s – 60 min</w:t>
      </w:r>
    </w:p>
    <w:p w:rsidR="008625FB" w:rsidRDefault="008625FB" w:rsidP="008625FB">
      <w:pPr>
        <w:pStyle w:val="Aufzhlung"/>
        <w:tabs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Stand-by Zeit Licht: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30 s – 60 min / dauerhaft ein / inaktiv</w:t>
      </w:r>
    </w:p>
    <w:p w:rsidR="008625FB" w:rsidRDefault="008625FB" w:rsidP="008625FB">
      <w:pPr>
        <w:pStyle w:val="Aufzhlung"/>
        <w:tabs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Stand-by Dimmwert: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 – </w:t>
      </w:r>
      <w:r w:rsidR="00255F78">
        <w:rPr>
          <w:rFonts w:ascii="Arial" w:hAnsi="Arial" w:cs="Arial"/>
        </w:rPr>
        <w:t>100</w:t>
      </w:r>
      <w:r>
        <w:rPr>
          <w:rFonts w:ascii="Arial" w:hAnsi="Arial" w:cs="Arial"/>
        </w:rPr>
        <w:t xml:space="preserve"> % der Lampenleistung</w:t>
      </w:r>
    </w:p>
    <w:p w:rsidR="008625FB" w:rsidRDefault="008625FB" w:rsidP="008625FB">
      <w:pPr>
        <w:pStyle w:val="Aufzhlung"/>
        <w:tabs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Einschaltverzögerung HKL: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s – 30 min / inaktiv</w:t>
      </w:r>
    </w:p>
    <w:p w:rsidR="008625FB" w:rsidRDefault="008625FB" w:rsidP="008625FB">
      <w:pPr>
        <w:pStyle w:val="Aufzhlung"/>
        <w:tabs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Nachlaufzeit HKL: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s – 120 min</w:t>
      </w:r>
    </w:p>
    <w:p w:rsidR="008625FB" w:rsidRDefault="008625FB" w:rsidP="00255F78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Messbereich Temperatursensor:</w:t>
      </w:r>
      <w:r>
        <w:rPr>
          <w:rFonts w:ascii="Arial" w:hAnsi="Arial" w:cs="Arial"/>
        </w:rPr>
        <w:tab/>
      </w:r>
      <w:r w:rsidR="00255F78">
        <w:rPr>
          <w:rFonts w:ascii="Arial" w:hAnsi="Arial" w:cs="Arial"/>
        </w:rPr>
        <w:t>-</w:t>
      </w:r>
      <w:r w:rsidR="009E7976">
        <w:rPr>
          <w:rFonts w:ascii="Arial" w:hAnsi="Arial" w:cs="Arial"/>
        </w:rPr>
        <w:t>25</w:t>
      </w:r>
      <w:r w:rsidR="00255F78">
        <w:rPr>
          <w:rFonts w:ascii="Arial" w:hAnsi="Arial" w:cs="Arial"/>
        </w:rPr>
        <w:t>° C bis +</w:t>
      </w:r>
      <w:r w:rsidR="009E7976">
        <w:rPr>
          <w:rFonts w:ascii="Arial" w:hAnsi="Arial" w:cs="Arial"/>
        </w:rPr>
        <w:t>55</w:t>
      </w:r>
      <w:r w:rsidR="00255F78">
        <w:rPr>
          <w:rFonts w:ascii="Arial" w:hAnsi="Arial" w:cs="Arial"/>
        </w:rPr>
        <w:t>° C</w:t>
      </w:r>
    </w:p>
    <w:p w:rsidR="008625FB" w:rsidRDefault="008625FB" w:rsidP="008625FB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Betriebstemperatur: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-5° C bis +</w:t>
      </w:r>
      <w:r w:rsidR="009E7976">
        <w:rPr>
          <w:rFonts w:ascii="Arial" w:hAnsi="Arial" w:cs="Arial"/>
        </w:rPr>
        <w:t>4</w:t>
      </w:r>
      <w:r>
        <w:rPr>
          <w:rFonts w:ascii="Arial" w:hAnsi="Arial" w:cs="Arial"/>
        </w:rPr>
        <w:t>5° C</w:t>
      </w:r>
    </w:p>
    <w:p w:rsidR="008625FB" w:rsidRDefault="008625FB" w:rsidP="008625FB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Abmessungen: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55F78">
        <w:rPr>
          <w:rFonts w:ascii="Calibri" w:hAnsi="Calibri" w:cs="Calibri"/>
        </w:rPr>
        <w:t>Ø</w:t>
      </w:r>
      <w:r w:rsidR="009E7976">
        <w:rPr>
          <w:rFonts w:ascii="Arial" w:hAnsi="Arial" w:cs="Arial"/>
        </w:rPr>
        <w:t>46</w:t>
      </w:r>
      <w:r w:rsidR="00255F78">
        <w:rPr>
          <w:rFonts w:ascii="Arial" w:hAnsi="Arial" w:cs="Arial"/>
        </w:rPr>
        <w:t>mm</w:t>
      </w:r>
      <w:r>
        <w:rPr>
          <w:rFonts w:ascii="Arial" w:hAnsi="Arial" w:cs="Arial"/>
        </w:rPr>
        <w:t xml:space="preserve"> x </w:t>
      </w:r>
      <w:r w:rsidR="00721FBD">
        <w:rPr>
          <w:rFonts w:ascii="Arial" w:hAnsi="Arial" w:cs="Arial"/>
        </w:rPr>
        <w:t>57,1</w:t>
      </w:r>
      <w:r>
        <w:rPr>
          <w:rFonts w:ascii="Arial" w:hAnsi="Arial" w:cs="Arial"/>
        </w:rPr>
        <w:t xml:space="preserve"> mm, Einbautiefe </w:t>
      </w:r>
      <w:r w:rsidR="00721FBD">
        <w:rPr>
          <w:rFonts w:ascii="Arial" w:hAnsi="Arial" w:cs="Arial"/>
        </w:rPr>
        <w:t>42</w:t>
      </w:r>
      <w:r>
        <w:rPr>
          <w:rFonts w:ascii="Arial" w:hAnsi="Arial" w:cs="Arial"/>
        </w:rPr>
        <w:t xml:space="preserve"> mm</w:t>
      </w:r>
    </w:p>
    <w:p w:rsidR="008625FB" w:rsidRDefault="008625FB" w:rsidP="008625FB">
      <w:pPr>
        <w:pStyle w:val="Aufzhlung"/>
        <w:ind w:left="0" w:firstLine="0"/>
        <w:rPr>
          <w:rFonts w:ascii="Arial" w:hAnsi="Arial" w:cs="Arial"/>
        </w:rPr>
      </w:pPr>
    </w:p>
    <w:sectPr w:rsidR="008625FB" w:rsidSect="00311C16">
      <w:headerReference w:type="default" r:id="rId11"/>
      <w:footerReference w:type="default" r:id="rId12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904E5" w:rsidRDefault="004904E5">
      <w:r>
        <w:separator/>
      </w:r>
    </w:p>
  </w:endnote>
  <w:endnote w:type="continuationSeparator" w:id="0">
    <w:p w:rsidR="004904E5" w:rsidRDefault="00490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</w:p>
      </w:tc>
      <w:tc>
        <w:tcPr>
          <w:tcW w:w="4748" w:type="dxa"/>
        </w:tcPr>
        <w:p w:rsidR="00F213AE" w:rsidRPr="0095605F" w:rsidRDefault="00F213AE" w:rsidP="004F2EB4">
          <w:pPr>
            <w:pStyle w:val="Fuzeile"/>
            <w:jc w:val="right"/>
            <w:rPr>
              <w:rFonts w:ascii="Arial" w:hAnsi="Arial" w:cs="Arial"/>
            </w:rPr>
          </w:pP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904E5" w:rsidRDefault="004904E5">
      <w:r>
        <w:separator/>
      </w:r>
    </w:p>
  </w:footnote>
  <w:footnote w:type="continuationSeparator" w:id="0">
    <w:p w:rsidR="004904E5" w:rsidRDefault="00490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4904E5" w:rsidP="00FD0BA5">
    <w:pPr>
      <w:pStyle w:val="Kopfzeile"/>
      <w:ind w:left="-1701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Theben – Presseportal der Brandrevier GmbH, Essen" style="position:absolute;left:0;text-align:left;margin-left:289.35pt;margin-top:17.2pt;width:184.3pt;height:40.85pt;z-index:-251658752;mso-wrap-edited:f;mso-width-percent:0;mso-height-percent:0;mso-width-percent:0;mso-height-percent:0" wrapcoords="-88 0 -88 21200 21600 21200 21600 0 -88 0">
          <v:imagedata r:id="rId1" r:href="rId2" croptop="21279f" cropbottom="23248f"/>
          <w10:wrap type="through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D382D"/>
    <w:multiLevelType w:val="hybridMultilevel"/>
    <w:tmpl w:val="9E9676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0B24DA8"/>
    <w:multiLevelType w:val="multilevel"/>
    <w:tmpl w:val="E17E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345449780">
    <w:abstractNumId w:val="3"/>
  </w:num>
  <w:num w:numId="2" w16cid:durableId="1753503456">
    <w:abstractNumId w:val="6"/>
  </w:num>
  <w:num w:numId="3" w16cid:durableId="690883467">
    <w:abstractNumId w:val="2"/>
  </w:num>
  <w:num w:numId="4" w16cid:durableId="191959791">
    <w:abstractNumId w:val="0"/>
  </w:num>
  <w:num w:numId="5" w16cid:durableId="301927869">
    <w:abstractNumId w:val="5"/>
  </w:num>
  <w:num w:numId="6" w16cid:durableId="1290043144">
    <w:abstractNumId w:val="1"/>
  </w:num>
  <w:num w:numId="7" w16cid:durableId="82427420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70460131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43073237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302CC"/>
    <w:rsid w:val="000A49B0"/>
    <w:rsid w:val="000A7407"/>
    <w:rsid w:val="000B4392"/>
    <w:rsid w:val="000D1E25"/>
    <w:rsid w:val="000E3A05"/>
    <w:rsid w:val="0011221C"/>
    <w:rsid w:val="00136A01"/>
    <w:rsid w:val="00167D65"/>
    <w:rsid w:val="0018253F"/>
    <w:rsid w:val="001954BB"/>
    <w:rsid w:val="001B336C"/>
    <w:rsid w:val="001B798A"/>
    <w:rsid w:val="001C5AE6"/>
    <w:rsid w:val="001E1D0D"/>
    <w:rsid w:val="001F49C8"/>
    <w:rsid w:val="001F4E1D"/>
    <w:rsid w:val="001F5BF1"/>
    <w:rsid w:val="001F6280"/>
    <w:rsid w:val="00213D07"/>
    <w:rsid w:val="00231674"/>
    <w:rsid w:val="00235C00"/>
    <w:rsid w:val="00255F78"/>
    <w:rsid w:val="00261E93"/>
    <w:rsid w:val="0026328C"/>
    <w:rsid w:val="002770D0"/>
    <w:rsid w:val="00293461"/>
    <w:rsid w:val="002A63AC"/>
    <w:rsid w:val="002C0750"/>
    <w:rsid w:val="002C6314"/>
    <w:rsid w:val="002D071C"/>
    <w:rsid w:val="002E64BA"/>
    <w:rsid w:val="002F170E"/>
    <w:rsid w:val="002F3067"/>
    <w:rsid w:val="00306E86"/>
    <w:rsid w:val="00311C1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B47C4"/>
    <w:rsid w:val="003D717D"/>
    <w:rsid w:val="00405990"/>
    <w:rsid w:val="00427F4D"/>
    <w:rsid w:val="00430F45"/>
    <w:rsid w:val="00442A17"/>
    <w:rsid w:val="00461495"/>
    <w:rsid w:val="00477426"/>
    <w:rsid w:val="004904E5"/>
    <w:rsid w:val="004930BB"/>
    <w:rsid w:val="00497804"/>
    <w:rsid w:val="004C07C4"/>
    <w:rsid w:val="004C6BD9"/>
    <w:rsid w:val="004D04DE"/>
    <w:rsid w:val="004D5108"/>
    <w:rsid w:val="004E2972"/>
    <w:rsid w:val="004F2EB4"/>
    <w:rsid w:val="004F6840"/>
    <w:rsid w:val="005116E4"/>
    <w:rsid w:val="00541EF7"/>
    <w:rsid w:val="00543AAD"/>
    <w:rsid w:val="00557AA9"/>
    <w:rsid w:val="005739DA"/>
    <w:rsid w:val="005A37FF"/>
    <w:rsid w:val="005C502D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24CC"/>
    <w:rsid w:val="006C784A"/>
    <w:rsid w:val="006D4E11"/>
    <w:rsid w:val="006E0D51"/>
    <w:rsid w:val="006F477C"/>
    <w:rsid w:val="006F4CAD"/>
    <w:rsid w:val="007064A2"/>
    <w:rsid w:val="0070748E"/>
    <w:rsid w:val="00714F55"/>
    <w:rsid w:val="007207C9"/>
    <w:rsid w:val="00721FBD"/>
    <w:rsid w:val="007752C7"/>
    <w:rsid w:val="00785FE4"/>
    <w:rsid w:val="00792DB9"/>
    <w:rsid w:val="007A6AD7"/>
    <w:rsid w:val="007A7A86"/>
    <w:rsid w:val="007B2E89"/>
    <w:rsid w:val="007C0ACE"/>
    <w:rsid w:val="007C7A20"/>
    <w:rsid w:val="007F2DF0"/>
    <w:rsid w:val="007F4E69"/>
    <w:rsid w:val="0083653F"/>
    <w:rsid w:val="00857B98"/>
    <w:rsid w:val="008625FB"/>
    <w:rsid w:val="00872719"/>
    <w:rsid w:val="008D46F5"/>
    <w:rsid w:val="008E010F"/>
    <w:rsid w:val="008F2E1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E48F9"/>
    <w:rsid w:val="009E7976"/>
    <w:rsid w:val="009F6E61"/>
    <w:rsid w:val="00A07543"/>
    <w:rsid w:val="00A41B0E"/>
    <w:rsid w:val="00A47C97"/>
    <w:rsid w:val="00A651B8"/>
    <w:rsid w:val="00A72AEF"/>
    <w:rsid w:val="00A75E61"/>
    <w:rsid w:val="00A853E7"/>
    <w:rsid w:val="00A96573"/>
    <w:rsid w:val="00AB0222"/>
    <w:rsid w:val="00AB2128"/>
    <w:rsid w:val="00AB443F"/>
    <w:rsid w:val="00AB4B97"/>
    <w:rsid w:val="00B065D4"/>
    <w:rsid w:val="00B345A1"/>
    <w:rsid w:val="00B7621C"/>
    <w:rsid w:val="00BE7F5B"/>
    <w:rsid w:val="00BE7FA6"/>
    <w:rsid w:val="00C001FA"/>
    <w:rsid w:val="00C05DE7"/>
    <w:rsid w:val="00C1124C"/>
    <w:rsid w:val="00C203A0"/>
    <w:rsid w:val="00C43A40"/>
    <w:rsid w:val="00C84303"/>
    <w:rsid w:val="00C8674B"/>
    <w:rsid w:val="00C8699D"/>
    <w:rsid w:val="00CA46A7"/>
    <w:rsid w:val="00CB1CD5"/>
    <w:rsid w:val="00CC6300"/>
    <w:rsid w:val="00CE0149"/>
    <w:rsid w:val="00CF20FB"/>
    <w:rsid w:val="00CF66F5"/>
    <w:rsid w:val="00D00BF0"/>
    <w:rsid w:val="00D03C54"/>
    <w:rsid w:val="00D05F16"/>
    <w:rsid w:val="00D56F8D"/>
    <w:rsid w:val="00D656E0"/>
    <w:rsid w:val="00D7757B"/>
    <w:rsid w:val="00D84889"/>
    <w:rsid w:val="00D96261"/>
    <w:rsid w:val="00DA5A07"/>
    <w:rsid w:val="00DC0E02"/>
    <w:rsid w:val="00DF4FE3"/>
    <w:rsid w:val="00E20CCF"/>
    <w:rsid w:val="00E26082"/>
    <w:rsid w:val="00E5779A"/>
    <w:rsid w:val="00E66107"/>
    <w:rsid w:val="00E70B35"/>
    <w:rsid w:val="00E769D5"/>
    <w:rsid w:val="00E92A11"/>
    <w:rsid w:val="00EA1E7A"/>
    <w:rsid w:val="00EA7350"/>
    <w:rsid w:val="00EB4AB1"/>
    <w:rsid w:val="00EC36C2"/>
    <w:rsid w:val="00ED309E"/>
    <w:rsid w:val="00F07E9A"/>
    <w:rsid w:val="00F21331"/>
    <w:rsid w:val="00F213AE"/>
    <w:rsid w:val="00F50BD0"/>
    <w:rsid w:val="00F55BBA"/>
    <w:rsid w:val="00F95E8C"/>
    <w:rsid w:val="00FB2CEC"/>
    <w:rsid w:val="00FC09A6"/>
    <w:rsid w:val="00FD0BA5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0B34DDB9-82E6-B14C-B261-49C7CAC0F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1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presseportal.brandrevier.com/wp-content/uploads/2022/08/theben_logo.jpg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CF50B5C6812EC489D309261A2883611" ma:contentTypeVersion="12" ma:contentTypeDescription="Ein neues Dokument erstellen." ma:contentTypeScope="" ma:versionID="f1004bc1def876e8ac491ab522dc036d">
  <xsd:schema xmlns:xsd="http://www.w3.org/2001/XMLSchema" xmlns:xs="http://www.w3.org/2001/XMLSchema" xmlns:p="http://schemas.microsoft.com/office/2006/metadata/properties" xmlns:ns2="c8a29656-d132-4f3e-91f5-bd4c104777ee" xmlns:ns3="4453a088-7e52-40e2-9d64-c86ac0bc0d78" targetNamespace="http://schemas.microsoft.com/office/2006/metadata/properties" ma:root="true" ma:fieldsID="5a41da11bada72de23391b5b29c186df" ns2:_="" ns3:_="">
    <xsd:import namespace="c8a29656-d132-4f3e-91f5-bd4c104777ee"/>
    <xsd:import namespace="4453a088-7e52-40e2-9d64-c86ac0bc0d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o618ae24870149049f55497070dc1806" minOccurs="0"/>
                <xsd:element ref="ns3:TaxCatchAll" minOccurs="0"/>
                <xsd:element ref="ns3:b2c20a7a234949339b653c84bcd8b546" minOccurs="0"/>
                <xsd:element ref="ns3:n004849563624e5aa2b65f73c416119c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29656-d132-4f3e-91f5-bd4c10477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displayName="Bildmarkierungen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3a088-7e52-40e2-9d64-c86ac0bc0d78" elementFormDefault="qualified">
    <xsd:import namespace="http://schemas.microsoft.com/office/2006/documentManagement/types"/>
    <xsd:import namespace="http://schemas.microsoft.com/office/infopath/2007/PartnerControls"/>
    <xsd:element name="o618ae24870149049f55497070dc1806" ma:index="15" nillable="true" ma:displayName="project status_0" ma:hidden="true" ma:internalName="o618ae24870149049f55497070dc1806">
      <xsd:simpleType>
        <xsd:restriction base="dms:Note"/>
      </xsd:simpleType>
    </xsd:element>
    <xsd:element name="TaxCatchAll" ma:index="16" nillable="true" ma:displayName="Taxonomy Catch All Column" ma:hidden="true" ma:list="{82a0bf1d-1d7c-48e1-b2a2-ae5dffa1111c}" ma:internalName="TaxCatchAll" ma:showField="CatchAllData" ma:web="4453a088-7e52-40e2-9d64-c86ac0bc0d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2c20a7a234949339b653c84bcd8b546" ma:index="17" nillable="true" ma:displayName="project origin_0" ma:hidden="true" ma:internalName="b2c20a7a234949339b653c84bcd8b546">
      <xsd:simpleType>
        <xsd:restriction base="dms:Note"/>
      </xsd:simpleType>
    </xsd:element>
    <xsd:element name="n004849563624e5aa2b65f73c416119c" ma:index="18" nillable="true" ma:displayName="Keyword_0" ma:hidden="true" ma:internalName="n004849563624e5aa2b65f73c416119c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>
  <LongProp xmlns="" name="display_urn_x003a_schemas_x002d_microsoft_x002d_com_x003a_office_x003a_office_x0023_SharedWithUsers"><![CDATA[SharingLinks.ef4256de-1cc5-4aaf-a40a-38460058c765.Flexible.55e7a097-c3ed-438b-bb44-7e838398ba29;SharingLinks.85e71369-93c6-4142-b73e-5f1d506313d5.Flexible.0a665c51-90b9-4d4f-b227-3fb8d970b77f;SharingLinks.9c916309-5423-49ce-bd55-4e51837a3eec.Flexible.8d300b17-ad3a-4b7d-8ae3-f52855b46559;SharingLinks.173c1369-02ec-40f5-a6de-e132b7b9408d.Flexible.f4bccba1-c83a-4bfe-bee2-9a6995f176aa;Mohl Arne moa - Theben AG]]></LongProp>
  <LongProp xmlns="" name="SharedWithUsers"><![CDATA[67;#SharingLinks.ef4256de-1cc5-4aaf-a40a-38460058c765.Flexible.55e7a097-c3ed-438b-bb44-7e838398ba29;#70;#SharingLinks.85e71369-93c6-4142-b73e-5f1d506313d5.Flexible.0a665c51-90b9-4d4f-b227-3fb8d970b77f;#58;#SharingLinks.9c916309-5423-49ce-bd55-4e51837a3eec.Flexible.8d300b17-ad3a-4b7d-8ae3-f52855b46559;#61;#SharingLinks.173c1369-02ec-40f5-a6de-e132b7b9408d.Flexible.f4bccba1-c83a-4bfe-bee2-9a6995f176aa;#91;#Mohl Arne moa - Theben AG]]></LongProp>
</LongProperties>
</file>

<file path=customXml/itemProps1.xml><?xml version="1.0" encoding="utf-8"?>
<ds:datastoreItem xmlns:ds="http://schemas.openxmlformats.org/officeDocument/2006/customXml" ds:itemID="{C23BAE3B-0B80-4519-A110-F9E4F102D9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37515A-977F-4EA2-A7EF-8DE6D2AE8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29656-d132-4f3e-91f5-bd4c104777ee"/>
    <ds:schemaRef ds:uri="4453a088-7e52-40e2-9d64-c86ac0bc0d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2A22A5-BC00-431A-B6C3-722C144A095D}">
  <ds:schemaRefs>
    <ds:schemaRef ds:uri="http://schemas.microsoft.com/office/2006/metadata/longPropertie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317</Words>
  <Characters>2001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2314</CharactersWithSpaces>
  <SharedDoc>false</SharedDoc>
  <HLinks>
    <vt:vector size="6" baseType="variant">
      <vt:variant>
        <vt:i4>7143497</vt:i4>
      </vt:variant>
      <vt:variant>
        <vt:i4>-1</vt:i4>
      </vt:variant>
      <vt:variant>
        <vt:i4>1025</vt:i4>
      </vt:variant>
      <vt:variant>
        <vt:i4>1</vt:i4>
      </vt:variant>
      <vt:variant>
        <vt:lpwstr>https://presseportal.brandrevier.com/wp-content/uploads/2022/08/theben_logo.jpg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2026-10-16T13:15:00Z</dcterms:created>
  <dcterms:modified xsi:type="dcterms:W3CDTF">2026-10-16T13:15:00Z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Url">
    <vt:lpwstr>, </vt:lpwstr>
  </property>
  <property fmtid="{D5CDD505-2E9C-101B-9397-08002B2CF9AE}" pid="3" name="n004849563624e5aa2b65f73c416119c">
    <vt:lpwstr/>
  </property>
  <property fmtid="{D5CDD505-2E9C-101B-9397-08002B2CF9AE}" pid="4" name="_dlc_DocId">
    <vt:lpwstr/>
  </property>
  <property fmtid="{D5CDD505-2E9C-101B-9397-08002B2CF9AE}" pid="5" name="pj_project">
    <vt:lpwstr>yes</vt:lpwstr>
  </property>
  <property fmtid="{D5CDD505-2E9C-101B-9397-08002B2CF9AE}" pid="6" name="b2c20a7a234949339b653c84bcd8b546">
    <vt:lpwstr/>
  </property>
  <property fmtid="{D5CDD505-2E9C-101B-9397-08002B2CF9AE}" pid="7" name="pj_ProjectNr">
    <vt:lpwstr>2021006</vt:lpwstr>
  </property>
  <property fmtid="{D5CDD505-2E9C-101B-9397-08002B2CF9AE}" pid="8" name="_dlc_DocIdPersistId">
    <vt:lpwstr/>
  </property>
  <property fmtid="{D5CDD505-2E9C-101B-9397-08002B2CF9AE}" pid="9" name="TaxCatchAll">
    <vt:lpwstr/>
  </property>
  <property fmtid="{D5CDD505-2E9C-101B-9397-08002B2CF9AE}" pid="10" name="o618ae24870149049f55497070dc1806">
    <vt:lpwstr/>
  </property>
  <property fmtid="{D5CDD505-2E9C-101B-9397-08002B2CF9AE}" pid="11" name="pj_Typ">
    <vt:lpwstr>Document</vt:lpwstr>
  </property>
  <property fmtid="{D5CDD505-2E9C-101B-9397-08002B2CF9AE}" pid="12" name="tgProjektstatus">
    <vt:lpwstr/>
  </property>
  <property fmtid="{D5CDD505-2E9C-101B-9397-08002B2CF9AE}" pid="13" name="tgProjektKeyword">
    <vt:lpwstr/>
  </property>
  <property fmtid="{D5CDD505-2E9C-101B-9397-08002B2CF9AE}" pid="14" name="tgProjektHerkunft">
    <vt:lpwstr/>
  </property>
  <property fmtid="{D5CDD505-2E9C-101B-9397-08002B2CF9AE}" pid="15" name="display_urn:schemas-microsoft-com:office:office#SharedWithUsers">
    <vt:lpwstr>SharingLinks.ef4256de-1cc5-4aaf-a40a-38460058c765.Flexible.55e7a097-c3ed-438b-bb44-7e838398ba29;SharingLinks.85e71369-93c6-4142-b73e-5f1d506313d5.Flexible.0a665c51-90b9-4d4f-b227-3fb8d970b77f;SharingLinks.9c916309-5423-49ce-bd55-4e51837a3eec.Flexible.8d30</vt:lpwstr>
  </property>
  <property fmtid="{D5CDD505-2E9C-101B-9397-08002B2CF9AE}" pid="16" name="SharedWithUsers">
    <vt:lpwstr>67;#SharingLinks.ef4256de-1cc5-4aaf-a40a-38460058c765.Flexible.55e7a097-c3ed-438b-bb44-7e838398ba29;#70;#SharingLinks.85e71369-93c6-4142-b73e-5f1d506313d5.Flexible.0a665c51-90b9-4d4f-b227-3fb8d970b77f;#58;#SharingLinks.9c916309-5423-49ce-bd55-4e51837a3eec</vt:lpwstr>
  </property>
  <property fmtid="{D5CDD505-2E9C-101B-9397-08002B2CF9AE}" pid="17" name="ContentTypeId">
    <vt:lpwstr>0x010100CCF50B5C6812EC489D309261A2883611</vt:lpwstr>
  </property>
  <property fmtid="{D5CDD505-2E9C-101B-9397-08002B2CF9AE}" pid="18" name="lcf76f155ced4ddcb4097134ff3c332f">
    <vt:lpwstr/>
  </property>
  <property fmtid="{D5CDD505-2E9C-101B-9397-08002B2CF9AE}" pid="19" name="MediaServiceImageTags">
    <vt:lpwstr/>
  </property>
</Properties>
</file>