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56A366" w14:textId="1F2EB977" w:rsidR="00292378" w:rsidRPr="00AA5710" w:rsidRDefault="00840C0D" w:rsidP="007A3921">
      <w:pPr>
        <w:rPr>
          <w:rFonts w:ascii="Arial" w:hAnsi="Arial" w:cs="Arial"/>
          <w:b/>
          <w:bCs/>
          <w:sz w:val="20"/>
          <w:szCs w:val="20"/>
        </w:rPr>
      </w:pPr>
      <w:r w:rsidRPr="00AA5710">
        <w:rPr>
          <w:rFonts w:ascii="Arial" w:hAnsi="Arial" w:cs="Arial"/>
          <w:i/>
          <w:i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A376915" wp14:editId="10AAF706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283970" cy="1619885"/>
            <wp:effectExtent l="0" t="0" r="0" b="0"/>
            <wp:wrapThrough wrapText="bothSides">
              <wp:wrapPolygon edited="0">
                <wp:start x="320" y="254"/>
                <wp:lineTo x="320" y="19813"/>
                <wp:lineTo x="2884" y="20829"/>
                <wp:lineTo x="9294" y="21338"/>
                <wp:lineTo x="13139" y="21338"/>
                <wp:lineTo x="18267" y="20829"/>
                <wp:lineTo x="21151" y="19559"/>
                <wp:lineTo x="20831" y="254"/>
                <wp:lineTo x="320" y="254"/>
              </wp:wrapPolygon>
            </wp:wrapThrough>
            <wp:docPr id="123275280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61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A3921" w:rsidRPr="00AA5710">
        <w:rPr>
          <w:rFonts w:ascii="Arial" w:hAnsi="Arial" w:cs="Arial"/>
          <w:b/>
          <w:bCs/>
          <w:sz w:val="20"/>
          <w:szCs w:val="20"/>
        </w:rPr>
        <w:br/>
      </w:r>
    </w:p>
    <w:p w14:paraId="40A284D2" w14:textId="67581B7A" w:rsidR="00143CB0" w:rsidRPr="00AA5710" w:rsidRDefault="00224686" w:rsidP="00224686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AA5710">
        <w:rPr>
          <w:rFonts w:ascii="Arial" w:hAnsi="Arial" w:cs="Arial"/>
          <w:b/>
          <w:bCs/>
          <w:sz w:val="20"/>
          <w:szCs w:val="20"/>
          <w:lang w:val="en-GB"/>
        </w:rPr>
        <w:t>DALI-Gateway</w:t>
      </w:r>
      <w:r w:rsidR="00A75AA0" w:rsidRPr="00AA5710">
        <w:rPr>
          <w:rFonts w:ascii="Arial" w:hAnsi="Arial" w:cs="Arial"/>
          <w:b/>
          <w:bCs/>
          <w:sz w:val="20"/>
          <w:szCs w:val="20"/>
          <w:lang w:val="en-GB"/>
        </w:rPr>
        <w:t xml:space="preserve"> KNX </w:t>
      </w:r>
      <w:r w:rsidRPr="00AA5710">
        <w:rPr>
          <w:rFonts w:ascii="Arial" w:hAnsi="Arial" w:cs="Arial"/>
          <w:b/>
          <w:bCs/>
          <w:sz w:val="20"/>
          <w:szCs w:val="20"/>
          <w:lang w:val="en-GB"/>
        </w:rPr>
        <w:t>– DALI-2 Multi-Master Application Controller</w:t>
      </w:r>
      <w:r w:rsidR="00A75AA0" w:rsidRPr="00AA5710">
        <w:rPr>
          <w:rFonts w:ascii="Arial" w:hAnsi="Arial" w:cs="Arial"/>
          <w:b/>
          <w:bCs/>
          <w:sz w:val="20"/>
          <w:szCs w:val="20"/>
          <w:lang w:val="en-GB"/>
        </w:rPr>
        <w:br/>
        <w:t>Theben DALI-Gateway P64 KNX</w:t>
      </w:r>
      <w:r w:rsidR="00F237BA" w:rsidRPr="00AA5710">
        <w:rPr>
          <w:rFonts w:ascii="Arial" w:hAnsi="Arial" w:cs="Arial"/>
          <w:b/>
          <w:bCs/>
          <w:sz w:val="20"/>
          <w:szCs w:val="20"/>
          <w:lang w:val="en-GB"/>
        </w:rPr>
        <w:t xml:space="preserve"> 4940303</w:t>
      </w:r>
      <w:r w:rsidR="00A11EA2" w:rsidRPr="00AA5710">
        <w:rPr>
          <w:rFonts w:ascii="Arial" w:hAnsi="Arial" w:cs="Arial"/>
          <w:b/>
          <w:bCs/>
          <w:sz w:val="20"/>
          <w:szCs w:val="20"/>
          <w:lang w:val="en-GB"/>
        </w:rPr>
        <w:br/>
      </w:r>
      <w:r w:rsidRPr="00AA5710">
        <w:rPr>
          <w:rFonts w:ascii="Arial" w:hAnsi="Arial" w:cs="Arial"/>
          <w:b/>
          <w:bCs/>
          <w:sz w:val="20"/>
          <w:szCs w:val="20"/>
          <w:lang w:val="en-GB"/>
        </w:rPr>
        <w:br/>
      </w:r>
    </w:p>
    <w:p w14:paraId="01BF316D" w14:textId="77777777" w:rsidR="00436C3B" w:rsidRPr="00AA5710" w:rsidRDefault="00224686" w:rsidP="00224686">
      <w:pPr>
        <w:rPr>
          <w:rFonts w:ascii="Arial" w:hAnsi="Arial" w:cs="Arial"/>
          <w:sz w:val="20"/>
          <w:szCs w:val="20"/>
        </w:rPr>
      </w:pPr>
      <w:r w:rsidRPr="00AA5710">
        <w:rPr>
          <w:rFonts w:ascii="Arial" w:hAnsi="Arial" w:cs="Arial"/>
          <w:sz w:val="20"/>
          <w:szCs w:val="20"/>
        </w:rPr>
        <w:t>Multi-Master Application-Controller als Schnittstelle zwischen dem DALI-System und dem KNX-Bus</w:t>
      </w:r>
    </w:p>
    <w:p w14:paraId="5A826F54" w14:textId="2E9EFCCF" w:rsidR="00224686" w:rsidRPr="00AA5710" w:rsidRDefault="00224686" w:rsidP="00224686">
      <w:pPr>
        <w:rPr>
          <w:rFonts w:ascii="Arial" w:hAnsi="Arial" w:cs="Arial"/>
          <w:sz w:val="20"/>
          <w:szCs w:val="20"/>
        </w:rPr>
      </w:pPr>
      <w:r w:rsidRPr="00AA5710">
        <w:rPr>
          <w:rFonts w:ascii="Arial" w:hAnsi="Arial" w:cs="Arial"/>
          <w:sz w:val="20"/>
          <w:szCs w:val="20"/>
        </w:rPr>
        <w:br/>
        <w:t>DALI-2 zertifiziert</w:t>
      </w:r>
      <w:r w:rsidRPr="00AA5710">
        <w:rPr>
          <w:rFonts w:ascii="Arial" w:hAnsi="Arial" w:cs="Arial"/>
          <w:sz w:val="20"/>
          <w:szCs w:val="20"/>
        </w:rPr>
        <w:br/>
        <w:t>Sichere Inbetriebnahme und Kommunikation durch Unterstützung von KNX Data Secure</w:t>
      </w:r>
      <w:r w:rsidRPr="00AA5710">
        <w:rPr>
          <w:rFonts w:ascii="Arial" w:hAnsi="Arial" w:cs="Arial"/>
          <w:sz w:val="20"/>
          <w:szCs w:val="20"/>
        </w:rPr>
        <w:br/>
        <w:t>Ansteuerung von 64 DALI-Teilnehmern in 16 Gruppen oder in  Einzelansteuerung</w:t>
      </w:r>
      <w:r w:rsidRPr="00AA5710">
        <w:rPr>
          <w:rFonts w:ascii="Arial" w:hAnsi="Arial" w:cs="Arial"/>
          <w:sz w:val="20"/>
          <w:szCs w:val="20"/>
        </w:rPr>
        <w:br/>
        <w:t>Integration von 8 DALI-2 Sensoren (Bewegung/Präsenz und Helligkeit)</w:t>
      </w:r>
      <w:r w:rsidRPr="00AA5710">
        <w:rPr>
          <w:rFonts w:ascii="Arial" w:hAnsi="Arial" w:cs="Arial"/>
          <w:sz w:val="20"/>
          <w:szCs w:val="20"/>
        </w:rPr>
        <w:br/>
        <w:t>Unterstützung von DALI-2 Tastern und Generic Type DALI-2 Input Devices (physikalische Sensoren)</w:t>
      </w:r>
      <w:r w:rsidRPr="00AA5710">
        <w:rPr>
          <w:rFonts w:ascii="Arial" w:hAnsi="Arial" w:cs="Arial"/>
          <w:sz w:val="20"/>
          <w:szCs w:val="20"/>
        </w:rPr>
        <w:br/>
        <w:t>Konzept für „virtuelle Input Devices“ erlaubt Zusammenführung mehrerer Instanzen</w:t>
      </w:r>
      <w:r w:rsidRPr="00AA5710">
        <w:rPr>
          <w:rFonts w:ascii="Arial" w:hAnsi="Arial" w:cs="Arial"/>
          <w:sz w:val="20"/>
          <w:szCs w:val="20"/>
        </w:rPr>
        <w:br/>
        <w:t>Interne Verknüpfung von Input Devices direkt mit DALI Gruppen</w:t>
      </w:r>
      <w:r w:rsidRPr="00AA5710">
        <w:rPr>
          <w:rFonts w:ascii="Arial" w:hAnsi="Arial" w:cs="Arial"/>
          <w:sz w:val="20"/>
          <w:szCs w:val="20"/>
        </w:rPr>
        <w:br/>
        <w:t>Erweiterte Funktionalität des Bewegungsmelders mit 2 Punkt- oder Konstantlichtregelung</w:t>
      </w:r>
      <w:r w:rsidRPr="00AA5710">
        <w:rPr>
          <w:rFonts w:ascii="Arial" w:hAnsi="Arial" w:cs="Arial"/>
          <w:sz w:val="20"/>
          <w:szCs w:val="20"/>
        </w:rPr>
        <w:br/>
      </w:r>
      <w:r w:rsidR="00220A9A" w:rsidRPr="00AA5710">
        <w:rPr>
          <w:rFonts w:ascii="Arial" w:hAnsi="Arial" w:cs="Arial"/>
          <w:sz w:val="20"/>
          <w:szCs w:val="20"/>
        </w:rPr>
        <w:t>GT</w:t>
      </w:r>
      <w:r w:rsidRPr="00AA5710">
        <w:rPr>
          <w:rFonts w:ascii="Arial" w:hAnsi="Arial" w:cs="Arial"/>
          <w:sz w:val="20"/>
          <w:szCs w:val="20"/>
        </w:rPr>
        <w:t>IN von EVGs und Input Devices kann zur einfachen Identifikation ausgelesen werden</w:t>
      </w:r>
      <w:r w:rsidRPr="00AA5710">
        <w:rPr>
          <w:rFonts w:ascii="Arial" w:hAnsi="Arial" w:cs="Arial"/>
          <w:sz w:val="20"/>
          <w:szCs w:val="20"/>
        </w:rPr>
        <w:br/>
        <w:t>Unterstützung von Energy Reporting nach DALI Part 252</w:t>
      </w:r>
      <w:r w:rsidRPr="00AA5710">
        <w:rPr>
          <w:rFonts w:ascii="Arial" w:hAnsi="Arial" w:cs="Arial"/>
          <w:sz w:val="20"/>
          <w:szCs w:val="20"/>
        </w:rPr>
        <w:br/>
        <w:t>Integriertes IoT Interface (API/MQTT)</w:t>
      </w:r>
      <w:r w:rsidRPr="00AA5710">
        <w:rPr>
          <w:rFonts w:ascii="Arial" w:hAnsi="Arial" w:cs="Arial"/>
          <w:sz w:val="20"/>
          <w:szCs w:val="20"/>
        </w:rPr>
        <w:br/>
        <w:t xml:space="preserve">Steuerung von Lichtfarbe und Farbtemperatur gemäß EN 62386-209 (DT-8) in Gruppen oder einzeln  </w:t>
      </w:r>
      <w:r w:rsidRPr="00AA5710">
        <w:rPr>
          <w:rFonts w:ascii="Arial" w:hAnsi="Arial" w:cs="Arial"/>
          <w:sz w:val="20"/>
          <w:szCs w:val="20"/>
        </w:rPr>
        <w:br/>
        <w:t>Automatische Anpassung der Farbtemperatur an den Dimmwert</w:t>
      </w:r>
      <w:r w:rsidRPr="00AA5710">
        <w:rPr>
          <w:rFonts w:ascii="Arial" w:hAnsi="Arial" w:cs="Arial"/>
          <w:sz w:val="20"/>
          <w:szCs w:val="20"/>
        </w:rPr>
        <w:br/>
        <w:t>Szenenmodul für 16 Szenen (einschließlich Farbsteuerung DT8)</w:t>
      </w:r>
      <w:r w:rsidRPr="00AA5710">
        <w:rPr>
          <w:rFonts w:ascii="Arial" w:hAnsi="Arial" w:cs="Arial"/>
          <w:sz w:val="20"/>
          <w:szCs w:val="20"/>
        </w:rPr>
        <w:br/>
        <w:t>Zeitabhängige Steuerung in Helligkeit, Lichtfarbe und Farbtemperatur</w:t>
      </w:r>
      <w:r w:rsidRPr="00AA5710">
        <w:rPr>
          <w:rFonts w:ascii="Arial" w:hAnsi="Arial" w:cs="Arial"/>
          <w:sz w:val="20"/>
          <w:szCs w:val="20"/>
        </w:rPr>
        <w:br/>
        <w:t>Szenenmodul für 16 Szenen (einschließlich Farbeinstellung DT8)</w:t>
      </w:r>
      <w:r w:rsidRPr="00AA5710">
        <w:rPr>
          <w:rFonts w:ascii="Arial" w:hAnsi="Arial" w:cs="Arial"/>
          <w:sz w:val="20"/>
          <w:szCs w:val="20"/>
        </w:rPr>
        <w:br/>
        <w:t>Effektmodul für Ablaufsteuerungen</w:t>
      </w:r>
      <w:r w:rsidRPr="00AA5710">
        <w:rPr>
          <w:rFonts w:ascii="Arial" w:hAnsi="Arial" w:cs="Arial"/>
          <w:sz w:val="20"/>
          <w:szCs w:val="20"/>
        </w:rPr>
        <w:br/>
        <w:t>Unterstützung von Einzelbatterienotleuchten und Notleuchtensysteme mit Zentralbatterie (EN 62386-202, DT-1)</w:t>
      </w:r>
      <w:r w:rsidRPr="00AA5710">
        <w:rPr>
          <w:rFonts w:ascii="Arial" w:hAnsi="Arial" w:cs="Arial"/>
          <w:sz w:val="20"/>
          <w:szCs w:val="20"/>
        </w:rPr>
        <w:br/>
      </w:r>
      <w:r w:rsidR="00220A9A" w:rsidRPr="00AA5710">
        <w:rPr>
          <w:rFonts w:ascii="Arial" w:hAnsi="Arial" w:cs="Arial"/>
          <w:sz w:val="20"/>
          <w:szCs w:val="20"/>
        </w:rPr>
        <w:t>L</w:t>
      </w:r>
      <w:r w:rsidRPr="00AA5710">
        <w:rPr>
          <w:rFonts w:ascii="Arial" w:hAnsi="Arial" w:cs="Arial"/>
          <w:sz w:val="20"/>
          <w:szCs w:val="20"/>
        </w:rPr>
        <w:t>C-Display (2x 12 Zeichen) zur Menüführung bei Inbetriebnahme und Parametrierung</w:t>
      </w:r>
      <w:r w:rsidRPr="00AA5710">
        <w:rPr>
          <w:rFonts w:ascii="Arial" w:hAnsi="Arial" w:cs="Arial"/>
          <w:sz w:val="20"/>
          <w:szCs w:val="20"/>
        </w:rPr>
        <w:br/>
        <w:t>Inbetriebnahme über die Bedienelemente am Gerät, über den integrierten Webserver oder über die kostenlose ETS-App (DCA)</w:t>
      </w:r>
    </w:p>
    <w:p w14:paraId="58F5E31F" w14:textId="77777777" w:rsidR="00224686" w:rsidRPr="00AA5710" w:rsidRDefault="00224686" w:rsidP="00224686">
      <w:pPr>
        <w:rPr>
          <w:rFonts w:ascii="Arial" w:hAnsi="Arial" w:cs="Arial"/>
          <w:sz w:val="20"/>
          <w:szCs w:val="20"/>
        </w:rPr>
      </w:pPr>
    </w:p>
    <w:p w14:paraId="7966F0EF" w14:textId="77777777" w:rsidR="00370187" w:rsidRPr="00AA5710" w:rsidRDefault="00280D80" w:rsidP="00AC29C8">
      <w:pPr>
        <w:pStyle w:val="KeinLeerraum"/>
      </w:pPr>
      <w:r w:rsidRPr="00AA5710">
        <w:t>Technische Eigenschaften:</w:t>
      </w:r>
    </w:p>
    <w:p w14:paraId="0B94BFBF" w14:textId="77777777" w:rsidR="00370187" w:rsidRPr="00AA5710" w:rsidRDefault="00224686" w:rsidP="00AC29C8">
      <w:pPr>
        <w:pStyle w:val="KeinLeerraum"/>
        <w:numPr>
          <w:ilvl w:val="0"/>
          <w:numId w:val="1"/>
        </w:numPr>
      </w:pPr>
      <w:r w:rsidRPr="00AA5710">
        <w:t>Betriebsspannung: 100-240 V AC/DC, 50-60 Hz</w:t>
      </w:r>
    </w:p>
    <w:p w14:paraId="4C897FF7" w14:textId="2DCC242E" w:rsidR="00224686" w:rsidRPr="00AA5710" w:rsidRDefault="00224686" w:rsidP="00AC29C8">
      <w:pPr>
        <w:pStyle w:val="KeinLeerraum"/>
        <w:numPr>
          <w:ilvl w:val="0"/>
          <w:numId w:val="1"/>
        </w:numPr>
      </w:pPr>
      <w:r w:rsidRPr="00AA5710">
        <w:t>DALI-Spannung: typ. 16 V DC, kurzschlussfest, Basisisolierung, Imax = 250 mA, Imin = 160 mA</w:t>
      </w:r>
    </w:p>
    <w:p w14:paraId="51FEFA6D" w14:textId="77777777" w:rsidR="00224686" w:rsidRPr="00AA5710" w:rsidRDefault="00224686" w:rsidP="00370187">
      <w:pPr>
        <w:pStyle w:val="KeinLeerraum"/>
        <w:numPr>
          <w:ilvl w:val="0"/>
          <w:numId w:val="1"/>
        </w:numPr>
      </w:pPr>
      <w:r w:rsidRPr="00AA5710">
        <w:t>Reiheneinbaugehäuse: 4 TE</w:t>
      </w:r>
    </w:p>
    <w:p w14:paraId="3DD9FD51" w14:textId="46A6DAD7" w:rsidR="00224686" w:rsidRPr="00AA5710" w:rsidRDefault="00224686" w:rsidP="00370187">
      <w:pPr>
        <w:pStyle w:val="KeinLeerraum"/>
        <w:numPr>
          <w:ilvl w:val="0"/>
          <w:numId w:val="1"/>
        </w:numPr>
      </w:pPr>
      <w:r w:rsidRPr="00AA5710">
        <w:t>Anzahl DALI-Geräte</w:t>
      </w:r>
      <w:r w:rsidR="0035797C" w:rsidRPr="00AA5710">
        <w:t>:</w:t>
      </w:r>
      <w:r w:rsidRPr="00AA5710">
        <w:t xml:space="preserve"> 64</w:t>
      </w:r>
    </w:p>
    <w:p w14:paraId="716D1CC8" w14:textId="2D395BEF" w:rsidR="00B5737F" w:rsidRPr="00AA5710" w:rsidRDefault="0035797C" w:rsidP="00370187">
      <w:pPr>
        <w:pStyle w:val="KeinLeerraum"/>
        <w:numPr>
          <w:ilvl w:val="0"/>
          <w:numId w:val="1"/>
        </w:numPr>
      </w:pPr>
      <w:r w:rsidRPr="00AA5710">
        <w:t>Anzahl DALI-Gruppen: 16</w:t>
      </w:r>
    </w:p>
    <w:p w14:paraId="7834B627" w14:textId="151BF9E1" w:rsidR="0035797C" w:rsidRPr="00AA5710" w:rsidRDefault="0035797C" w:rsidP="00370187">
      <w:pPr>
        <w:pStyle w:val="KeinLeerraum"/>
        <w:numPr>
          <w:ilvl w:val="0"/>
          <w:numId w:val="1"/>
        </w:numPr>
      </w:pPr>
      <w:r w:rsidRPr="00AA5710">
        <w:t>Anzahl DALI-</w:t>
      </w:r>
      <w:r w:rsidR="00B55963" w:rsidRPr="00AA5710">
        <w:t>Sensoren: 8</w:t>
      </w:r>
    </w:p>
    <w:p w14:paraId="3971FAE9" w14:textId="77777777" w:rsidR="00807860" w:rsidRPr="00AA5710" w:rsidRDefault="00B55963" w:rsidP="00370187">
      <w:pPr>
        <w:pStyle w:val="KeinLeerraum"/>
        <w:numPr>
          <w:ilvl w:val="0"/>
          <w:numId w:val="1"/>
        </w:numPr>
      </w:pPr>
      <w:r w:rsidRPr="00AA5710">
        <w:t>Anzahl DALI-Taster: 8</w:t>
      </w:r>
    </w:p>
    <w:p w14:paraId="5F0838C5" w14:textId="5976B54E" w:rsidR="00807860" w:rsidRPr="00AA5710" w:rsidRDefault="00807860" w:rsidP="00370187">
      <w:pPr>
        <w:pStyle w:val="KeinLeerraum"/>
        <w:numPr>
          <w:ilvl w:val="0"/>
          <w:numId w:val="1"/>
        </w:numPr>
      </w:pPr>
      <w:r w:rsidRPr="00AA5710">
        <w:t>Konstantlichtregelung: ja</w:t>
      </w:r>
    </w:p>
    <w:p w14:paraId="6ED7DE78" w14:textId="37D86B9C" w:rsidR="00224686" w:rsidRDefault="00730474" w:rsidP="00370187">
      <w:pPr>
        <w:pStyle w:val="KeinLeerraum"/>
        <w:numPr>
          <w:ilvl w:val="0"/>
          <w:numId w:val="1"/>
        </w:numPr>
      </w:pPr>
      <w:r w:rsidRPr="00AA5710">
        <w:t>IoT-Interface: MQTT API</w:t>
      </w:r>
      <w:r w:rsidR="00B55963" w:rsidRPr="00370187">
        <w:rPr>
          <w:highlight w:val="green"/>
        </w:rPr>
        <w:br/>
      </w:r>
    </w:p>
    <w:p w14:paraId="07900B1C" w14:textId="77777777" w:rsidR="00392B1A" w:rsidRPr="00AC29C8" w:rsidRDefault="00392B1A" w:rsidP="00392B1A">
      <w:pPr>
        <w:pStyle w:val="KeinLeerraum"/>
      </w:pPr>
    </w:p>
    <w:p w14:paraId="6A7E9DD3" w14:textId="77777777" w:rsidR="00224686" w:rsidRPr="003438B0" w:rsidRDefault="00224686" w:rsidP="00224686">
      <w:pPr>
        <w:rPr>
          <w:rFonts w:ascii="Arial" w:hAnsi="Arial" w:cs="Arial"/>
          <w:sz w:val="20"/>
          <w:szCs w:val="20"/>
        </w:rPr>
      </w:pPr>
      <w:r w:rsidRPr="003438B0">
        <w:rPr>
          <w:rFonts w:ascii="Arial" w:hAnsi="Arial" w:cs="Arial"/>
          <w:sz w:val="20"/>
          <w:szCs w:val="20"/>
        </w:rPr>
        <w:t>Liefern, montieren, betriebsfertig anschließen und einstellen</w:t>
      </w:r>
    </w:p>
    <w:p w14:paraId="167987CA" w14:textId="77777777" w:rsidR="00224686" w:rsidRPr="003438B0" w:rsidRDefault="00224686" w:rsidP="00224686">
      <w:pPr>
        <w:rPr>
          <w:rFonts w:ascii="Arial" w:hAnsi="Arial" w:cs="Arial"/>
          <w:sz w:val="20"/>
          <w:szCs w:val="20"/>
        </w:rPr>
      </w:pPr>
    </w:p>
    <w:p w14:paraId="4F5B0595" w14:textId="77777777" w:rsidR="00224686" w:rsidRPr="003438B0" w:rsidRDefault="00224686" w:rsidP="00224686">
      <w:pPr>
        <w:rPr>
          <w:rFonts w:ascii="Arial" w:hAnsi="Arial" w:cs="Arial"/>
          <w:sz w:val="20"/>
          <w:szCs w:val="20"/>
          <w:lang w:val="sv-SE"/>
        </w:rPr>
      </w:pPr>
      <w:r w:rsidRPr="003438B0">
        <w:rPr>
          <w:rFonts w:ascii="Arial" w:hAnsi="Arial" w:cs="Arial"/>
          <w:sz w:val="20"/>
          <w:szCs w:val="20"/>
          <w:lang w:val="sv-SE"/>
        </w:rPr>
        <w:t>Fabrikat: Theben</w:t>
      </w:r>
    </w:p>
    <w:p w14:paraId="6B9B8417" w14:textId="77777777" w:rsidR="00224686" w:rsidRPr="003438B0" w:rsidRDefault="00224686" w:rsidP="00224686">
      <w:pPr>
        <w:rPr>
          <w:rFonts w:ascii="Arial" w:hAnsi="Arial" w:cs="Arial"/>
          <w:sz w:val="20"/>
          <w:szCs w:val="20"/>
          <w:lang w:val="sv-SE"/>
        </w:rPr>
      </w:pPr>
      <w:r w:rsidRPr="003438B0">
        <w:rPr>
          <w:rFonts w:ascii="Arial" w:hAnsi="Arial" w:cs="Arial"/>
          <w:sz w:val="20"/>
          <w:szCs w:val="20"/>
          <w:lang w:val="sv-SE"/>
        </w:rPr>
        <w:t>Typ: DALI-Gateway P64 KNX</w:t>
      </w:r>
    </w:p>
    <w:p w14:paraId="4827638F" w14:textId="77777777" w:rsidR="00224686" w:rsidRPr="003438B0" w:rsidRDefault="00224686" w:rsidP="00224686">
      <w:pPr>
        <w:rPr>
          <w:rFonts w:ascii="Arial" w:hAnsi="Arial" w:cs="Arial"/>
          <w:sz w:val="20"/>
          <w:szCs w:val="20"/>
          <w:lang w:val="sv-SE"/>
        </w:rPr>
      </w:pPr>
      <w:r w:rsidRPr="003438B0">
        <w:rPr>
          <w:rFonts w:ascii="Arial" w:hAnsi="Arial" w:cs="Arial"/>
          <w:sz w:val="20"/>
          <w:szCs w:val="20"/>
          <w:lang w:val="sv-SE"/>
        </w:rPr>
        <w:t>Bestell-Nr.: 4940303</w:t>
      </w:r>
    </w:p>
    <w:p w14:paraId="282EFA66" w14:textId="77777777" w:rsidR="00224686" w:rsidRPr="003438B0" w:rsidRDefault="00224686" w:rsidP="00224686">
      <w:pPr>
        <w:rPr>
          <w:rFonts w:ascii="Arial" w:hAnsi="Arial" w:cs="Arial"/>
          <w:sz w:val="20"/>
          <w:szCs w:val="20"/>
          <w:lang w:val="sv-SE"/>
        </w:rPr>
      </w:pPr>
    </w:p>
    <w:p w14:paraId="2D48D62D" w14:textId="77777777" w:rsidR="00224686" w:rsidRDefault="00224686" w:rsidP="00224686">
      <w:pPr>
        <w:rPr>
          <w:rFonts w:ascii="Arial" w:hAnsi="Arial" w:cs="Arial"/>
          <w:sz w:val="20"/>
          <w:szCs w:val="20"/>
        </w:rPr>
      </w:pPr>
      <w:r w:rsidRPr="003438B0">
        <w:rPr>
          <w:rFonts w:ascii="Arial" w:hAnsi="Arial" w:cs="Arial"/>
          <w:sz w:val="20"/>
          <w:szCs w:val="20"/>
        </w:rPr>
        <w:t>Einheit: ST</w:t>
      </w:r>
    </w:p>
    <w:p w14:paraId="58ADB354" w14:textId="77777777" w:rsidR="002F0068" w:rsidRDefault="002F0068"/>
    <w:sectPr w:rsidR="002F0068" w:rsidSect="00660D8A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7772C7"/>
    <w:multiLevelType w:val="hybridMultilevel"/>
    <w:tmpl w:val="D9506FFC"/>
    <w:lvl w:ilvl="0" w:tplc="2B769B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9870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86"/>
    <w:rsid w:val="000273A1"/>
    <w:rsid w:val="00143CB0"/>
    <w:rsid w:val="00146CC9"/>
    <w:rsid w:val="00220A9A"/>
    <w:rsid w:val="00224686"/>
    <w:rsid w:val="00280D80"/>
    <w:rsid w:val="00292378"/>
    <w:rsid w:val="002D5B41"/>
    <w:rsid w:val="002D6C19"/>
    <w:rsid w:val="002E0442"/>
    <w:rsid w:val="002E19C4"/>
    <w:rsid w:val="002F0068"/>
    <w:rsid w:val="003438B0"/>
    <w:rsid w:val="0035797C"/>
    <w:rsid w:val="00370187"/>
    <w:rsid w:val="00386BFA"/>
    <w:rsid w:val="00392B1A"/>
    <w:rsid w:val="003E268E"/>
    <w:rsid w:val="003E35EB"/>
    <w:rsid w:val="00436C3B"/>
    <w:rsid w:val="00443D5B"/>
    <w:rsid w:val="004832DF"/>
    <w:rsid w:val="00534670"/>
    <w:rsid w:val="00644004"/>
    <w:rsid w:val="00660D8A"/>
    <w:rsid w:val="0069022A"/>
    <w:rsid w:val="006A7016"/>
    <w:rsid w:val="00730474"/>
    <w:rsid w:val="007A3921"/>
    <w:rsid w:val="007E2268"/>
    <w:rsid w:val="00807860"/>
    <w:rsid w:val="00840C0D"/>
    <w:rsid w:val="008A3616"/>
    <w:rsid w:val="008E6331"/>
    <w:rsid w:val="0094776E"/>
    <w:rsid w:val="00A11EA2"/>
    <w:rsid w:val="00A75AA0"/>
    <w:rsid w:val="00A903D4"/>
    <w:rsid w:val="00A97CE3"/>
    <w:rsid w:val="00AA5710"/>
    <w:rsid w:val="00AA7928"/>
    <w:rsid w:val="00AC29C8"/>
    <w:rsid w:val="00B375B6"/>
    <w:rsid w:val="00B55963"/>
    <w:rsid w:val="00B5737F"/>
    <w:rsid w:val="00C3380D"/>
    <w:rsid w:val="00C5103F"/>
    <w:rsid w:val="00D15F00"/>
    <w:rsid w:val="00D16E1D"/>
    <w:rsid w:val="00DA591B"/>
    <w:rsid w:val="00E94996"/>
    <w:rsid w:val="00F2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35D3"/>
  <w15:chartTrackingRefBased/>
  <w15:docId w15:val="{662784E7-BCE4-4D99-8B6D-96E30851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4686"/>
  </w:style>
  <w:style w:type="paragraph" w:styleId="berschrift1">
    <w:name w:val="heading 1"/>
    <w:basedOn w:val="Standard"/>
    <w:next w:val="Standard"/>
    <w:link w:val="berschrift1Zchn"/>
    <w:uiPriority w:val="9"/>
    <w:qFormat/>
    <w:rsid w:val="00224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4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4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4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4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4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4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4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4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4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4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4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468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468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468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468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468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46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4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4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4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4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468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468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468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4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468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4686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46CC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46CC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46CC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6CC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6CC9"/>
    <w:rPr>
      <w:b/>
      <w:bCs/>
      <w:sz w:val="20"/>
      <w:szCs w:val="20"/>
    </w:rPr>
  </w:style>
  <w:style w:type="paragraph" w:styleId="KeinLeerraum">
    <w:name w:val="No Spacing"/>
    <w:uiPriority w:val="1"/>
    <w:qFormat/>
    <w:rsid w:val="00AC29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15a992-4f6f-4f99-9a35-14e8bb021019">
      <Terms xmlns="http://schemas.microsoft.com/office/infopath/2007/PartnerControls"/>
    </lcf76f155ced4ddcb4097134ff3c332f>
    <TaxCatchAll xmlns="1bd3b856-080e-4097-934d-2d7de7091a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D0045CB02F7E4487FA43DBBA7CF575" ma:contentTypeVersion="11" ma:contentTypeDescription="Ein neues Dokument erstellen." ma:contentTypeScope="" ma:versionID="16dbd29d39c6c80310a5edd8427c0a89">
  <xsd:schema xmlns:xsd="http://www.w3.org/2001/XMLSchema" xmlns:xs="http://www.w3.org/2001/XMLSchema" xmlns:p="http://schemas.microsoft.com/office/2006/metadata/properties" xmlns:ns2="9c15a992-4f6f-4f99-9a35-14e8bb021019" xmlns:ns3="1bd3b856-080e-4097-934d-2d7de7091a38" targetNamespace="http://schemas.microsoft.com/office/2006/metadata/properties" ma:root="true" ma:fieldsID="e08640b373f6b1ba51baa14a9f3c41e4" ns2:_="" ns3:_="">
    <xsd:import namespace="9c15a992-4f6f-4f99-9a35-14e8bb021019"/>
    <xsd:import namespace="1bd3b856-080e-4097-934d-2d7de7091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5a992-4f6f-4f99-9a35-14e8bb0210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fa3303b-39ef-4475-b3f5-2faa108ec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3b856-080e-4097-934d-2d7de7091a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0ad194-ba9c-4d25-8f70-55895d46cb92}" ma:internalName="TaxCatchAll" ma:showField="CatchAllData" ma:web="1bd3b856-080e-4097-934d-2d7de7091a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E71081-DBB6-492F-8B9F-D2FDB6B2E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78B682-6D9D-40E4-8B16-C8D7C2A4D450}">
  <ds:schemaRefs>
    <ds:schemaRef ds:uri="http://schemas.microsoft.com/office/2006/metadata/properties"/>
    <ds:schemaRef ds:uri="http://schemas.microsoft.com/office/infopath/2007/PartnerControls"/>
    <ds:schemaRef ds:uri="9c15a992-4f6f-4f99-9a35-14e8bb021019"/>
    <ds:schemaRef ds:uri="1bd3b856-080e-4097-934d-2d7de7091a38"/>
  </ds:schemaRefs>
</ds:datastoreItem>
</file>

<file path=customXml/itemProps3.xml><?xml version="1.0" encoding="utf-8"?>
<ds:datastoreItem xmlns:ds="http://schemas.openxmlformats.org/officeDocument/2006/customXml" ds:itemID="{E7C4458E-5B57-4598-9753-0B6AF2F928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551192-8BE7-47CC-93E6-80E690333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15a992-4f6f-4f99-9a35-14e8bb021019"/>
    <ds:schemaRef ds:uri="1bd3b856-080e-4097-934d-2d7de7091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1823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Theben AG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Schlaich Tino sct - Theben AG</dc:creator>
  <cp:keywords/>
  <dc:description/>
  <cp:lastModifiedBy>Jürgen Schwitzer</cp:lastModifiedBy>
  <cp:revision>2</cp:revision>
  <dcterms:created xsi:type="dcterms:W3CDTF">2026-10-16T13:08:00Z</dcterms:created>
  <dcterms:modified xsi:type="dcterms:W3CDTF">2026-10-16T13:08:00Z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0x010100DBD0045CB02F7E4487FA43DBBA7CF575</vt:lpwstr>
  </property>
  <property fmtid="{D5CDD505-2E9C-101B-9397-08002B2CF9AE}" pid="3" name="MediaServiceImageTags">
    <vt:lpwstr/>
  </property>
</Properties>
</file>