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Pr="002A7A74" w:rsidRDefault="002A7A74">
      <w:pPr>
        <w:rPr>
          <w:rFonts w:ascii="Arial" w:hAnsi="Arial" w:cs="Arial"/>
          <w:b/>
          <w:sz w:val="20"/>
          <w:szCs w:val="20"/>
          <w:lang w:val="en-GB"/>
        </w:rPr>
      </w:pPr>
      <w:proofErr w:type="spellStart"/>
      <w:r w:rsidRPr="002A7A74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2A7A74">
        <w:rPr>
          <w:rFonts w:ascii="Arial" w:hAnsi="Arial" w:cs="Arial"/>
          <w:b/>
          <w:sz w:val="20"/>
          <w:szCs w:val="20"/>
          <w:lang w:val="en-GB"/>
        </w:rPr>
        <w:t xml:space="preserve"> 1-fach </w:t>
      </w:r>
      <w:proofErr w:type="spellStart"/>
      <w:r w:rsidRPr="002A7A74">
        <w:rPr>
          <w:rFonts w:ascii="Arial" w:hAnsi="Arial" w:cs="Arial"/>
          <w:b/>
          <w:sz w:val="20"/>
          <w:szCs w:val="20"/>
          <w:lang w:val="en-GB"/>
        </w:rPr>
        <w:t>Heizungsaktor</w:t>
      </w:r>
      <w:proofErr w:type="spellEnd"/>
      <w:r w:rsidRPr="002A7A74">
        <w:rPr>
          <w:rFonts w:ascii="Arial" w:hAnsi="Arial" w:cs="Arial"/>
          <w:b/>
          <w:sz w:val="20"/>
          <w:szCs w:val="20"/>
          <w:lang w:val="en-GB"/>
        </w:rPr>
        <w:t xml:space="preserve"> UP </w:t>
      </w:r>
      <w:r w:rsidR="0008399B" w:rsidRPr="002A7A74">
        <w:rPr>
          <w:rFonts w:ascii="Arial" w:hAnsi="Arial" w:cs="Arial"/>
          <w:b/>
          <w:sz w:val="20"/>
          <w:szCs w:val="20"/>
          <w:lang w:val="en-GB"/>
        </w:rPr>
        <w:t>(</w:t>
      </w:r>
      <w:proofErr w:type="spellStart"/>
      <w:r w:rsidRPr="002A7A74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2A7A74">
        <w:rPr>
          <w:rFonts w:ascii="Arial" w:hAnsi="Arial" w:cs="Arial"/>
          <w:b/>
          <w:sz w:val="20"/>
          <w:szCs w:val="20"/>
          <w:lang w:val="en-GB"/>
        </w:rPr>
        <w:t xml:space="preserve"> H1</w:t>
      </w:r>
      <w:r w:rsidR="0008399B" w:rsidRPr="002A7A74">
        <w:rPr>
          <w:rFonts w:ascii="Arial" w:hAnsi="Arial" w:cs="Arial"/>
          <w:b/>
          <w:sz w:val="20"/>
          <w:szCs w:val="20"/>
          <w:lang w:val="en-GB"/>
        </w:rPr>
        <w:t>)</w:t>
      </w:r>
    </w:p>
    <w:p w:rsidR="008433A6" w:rsidRPr="002A7A74" w:rsidRDefault="008433A6">
      <w:pPr>
        <w:rPr>
          <w:rFonts w:ascii="Arial" w:hAnsi="Arial" w:cs="Arial"/>
          <w:sz w:val="20"/>
          <w:szCs w:val="20"/>
          <w:lang w:val="en-GB"/>
        </w:rPr>
      </w:pPr>
    </w:p>
    <w:p w:rsidR="00945D2F" w:rsidRDefault="002A7A74" w:rsidP="0008399B">
      <w:pPr>
        <w:rPr>
          <w:rFonts w:ascii="Arial" w:hAnsi="Arial" w:cs="Arial"/>
          <w:sz w:val="20"/>
          <w:szCs w:val="20"/>
        </w:rPr>
      </w:pPr>
      <w:proofErr w:type="spellStart"/>
      <w:r w:rsidRPr="002A7A74">
        <w:rPr>
          <w:rFonts w:ascii="Arial" w:hAnsi="Arial" w:cs="Arial"/>
          <w:sz w:val="20"/>
          <w:szCs w:val="20"/>
        </w:rPr>
        <w:t>LUXORliving</w:t>
      </w:r>
      <w:proofErr w:type="spellEnd"/>
      <w:r w:rsidRPr="002A7A74">
        <w:rPr>
          <w:rFonts w:ascii="Arial" w:hAnsi="Arial" w:cs="Arial"/>
          <w:sz w:val="20"/>
          <w:szCs w:val="20"/>
        </w:rPr>
        <w:t xml:space="preserve"> 1-fach </w:t>
      </w:r>
      <w:proofErr w:type="spellStart"/>
      <w:r w:rsidRPr="002A7A74">
        <w:rPr>
          <w:rFonts w:ascii="Arial" w:hAnsi="Arial" w:cs="Arial"/>
          <w:sz w:val="20"/>
          <w:szCs w:val="20"/>
        </w:rPr>
        <w:t>Heizungsaktor</w:t>
      </w:r>
      <w:proofErr w:type="spellEnd"/>
      <w:r w:rsidRPr="002A7A74">
        <w:rPr>
          <w:rFonts w:ascii="Arial" w:hAnsi="Arial" w:cs="Arial"/>
          <w:sz w:val="20"/>
          <w:szCs w:val="20"/>
        </w:rPr>
        <w:t xml:space="preserve"> UP, Geräuschlose Ansteuerung von thermischen Stellantrieben 230 V AC, Integrierter Temperaturregler Heizen/Kühlen, Ventilschutzfunktion, </w:t>
      </w:r>
      <w:proofErr w:type="spellStart"/>
      <w:r w:rsidRPr="002A7A74">
        <w:rPr>
          <w:rFonts w:ascii="Arial" w:hAnsi="Arial" w:cs="Arial"/>
          <w:sz w:val="20"/>
          <w:szCs w:val="20"/>
        </w:rPr>
        <w:t>Einfache</w:t>
      </w:r>
      <w:proofErr w:type="spellEnd"/>
      <w:r w:rsidRPr="002A7A74">
        <w:rPr>
          <w:rFonts w:ascii="Arial" w:hAnsi="Arial" w:cs="Arial"/>
          <w:sz w:val="20"/>
          <w:szCs w:val="20"/>
        </w:rPr>
        <w:t xml:space="preserve"> Montage durch besonders kompaktes Gehäuse, 2 Binäreingänge für potentialfreie Kontakte wie Taster, Schalter, Fensterkontakte, Temperatursensor (Eingang I2), Integrierte Temperaturüberwachung für erhöhte Betriebssicherheit z.B. bei Überlast</w:t>
      </w:r>
    </w:p>
    <w:p w:rsidR="002A7A74" w:rsidRDefault="002A7A74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2A7A74" w:rsidRPr="002A7A74">
        <w:rPr>
          <w:rFonts w:ascii="Arial" w:hAnsi="Arial" w:cs="Arial"/>
          <w:sz w:val="20"/>
          <w:szCs w:val="20"/>
        </w:rPr>
        <w:t>LUXORliving</w:t>
      </w:r>
      <w:proofErr w:type="spellEnd"/>
      <w:r w:rsidR="002A7A74" w:rsidRPr="002A7A74">
        <w:rPr>
          <w:rFonts w:ascii="Arial" w:hAnsi="Arial" w:cs="Arial"/>
          <w:sz w:val="20"/>
          <w:szCs w:val="20"/>
        </w:rPr>
        <w:t xml:space="preserve"> H1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2A7A74" w:rsidRPr="002A7A74">
        <w:rPr>
          <w:rFonts w:ascii="Arial" w:hAnsi="Arial" w:cs="Arial"/>
          <w:sz w:val="20"/>
          <w:szCs w:val="20"/>
        </w:rPr>
        <w:t>4800540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2A7A74"/>
    <w:rsid w:val="008433A6"/>
    <w:rsid w:val="00945D2F"/>
    <w:rsid w:val="00AE1BA8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46F8F-6EAC-694C-A100-9D58BA21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2026-10-16T13:00:00Z</dcterms:created>
  <dcterms:modified xsi:type="dcterms:W3CDTF">2026-10-16T13:00:00Z</dcterms:modified>
</cp:coreProperties>
</file>