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A58413" w14:textId="77777777" w:rsidR="0008399B" w:rsidRDefault="001172A9">
      <w:pPr>
        <w:rPr>
          <w:rFonts w:ascii="Arial" w:hAnsi="Arial" w:cs="Arial"/>
          <w:b/>
          <w:sz w:val="20"/>
          <w:szCs w:val="20"/>
        </w:rPr>
      </w:pPr>
      <w:r w:rsidRPr="001172A9">
        <w:rPr>
          <w:rFonts w:ascii="Arial" w:hAnsi="Arial" w:cs="Arial"/>
          <w:b/>
          <w:sz w:val="20"/>
          <w:szCs w:val="20"/>
        </w:rPr>
        <w:t xml:space="preserve">Dämmerungsschalter mit Zeitschaltuhr, Einbau-Lichtsensor, 1 Kanal, RC-fähig </w:t>
      </w:r>
      <w:r w:rsidR="0008399B" w:rsidRPr="0008399B">
        <w:rPr>
          <w:rFonts w:ascii="Arial" w:hAnsi="Arial" w:cs="Arial"/>
          <w:b/>
          <w:sz w:val="20"/>
          <w:szCs w:val="20"/>
        </w:rPr>
        <w:t>(</w:t>
      </w:r>
      <w:r w:rsidRPr="001172A9">
        <w:rPr>
          <w:rFonts w:ascii="Arial" w:hAnsi="Arial" w:cs="Arial"/>
          <w:b/>
          <w:sz w:val="20"/>
          <w:szCs w:val="20"/>
        </w:rPr>
        <w:t>LUNA 121 top3 EL</w:t>
      </w:r>
      <w:r w:rsidR="0008399B" w:rsidRPr="0008399B">
        <w:rPr>
          <w:rFonts w:ascii="Arial" w:hAnsi="Arial" w:cs="Arial"/>
          <w:b/>
          <w:sz w:val="20"/>
          <w:szCs w:val="20"/>
        </w:rPr>
        <w:t>)</w:t>
      </w:r>
    </w:p>
    <w:p w14:paraId="34C8967C" w14:textId="77777777" w:rsidR="008433A6" w:rsidRDefault="008433A6">
      <w:pPr>
        <w:rPr>
          <w:rFonts w:ascii="Arial" w:hAnsi="Arial" w:cs="Arial"/>
          <w:sz w:val="20"/>
          <w:szCs w:val="20"/>
        </w:rPr>
      </w:pPr>
    </w:p>
    <w:p w14:paraId="0E41D4C3" w14:textId="77777777" w:rsidR="0008399B" w:rsidRDefault="001172A9" w:rsidP="0008399B">
      <w:pPr>
        <w:rPr>
          <w:rFonts w:ascii="Arial" w:hAnsi="Arial" w:cs="Arial"/>
          <w:sz w:val="20"/>
          <w:szCs w:val="20"/>
        </w:rPr>
      </w:pPr>
      <w:r w:rsidRPr="001172A9">
        <w:rPr>
          <w:rFonts w:ascii="Arial" w:hAnsi="Arial" w:cs="Arial"/>
          <w:sz w:val="20"/>
          <w:szCs w:val="20"/>
        </w:rPr>
        <w:t>Digitaler Dämmerungsschalter/Lichtsteuergerät mit integrierter Zeitschaltuhr, 1 Kanal, Wochenprogramm, Separater Einbau-Lichtsensor (IP 66) im Lieferumfang, DCF- oder GPS-Funksteuerung mit externer Antenne möglich, 1-99.000 lx, externer Eingang, 3 Sonderprogramme mit Jahresfunktion, Breite 2 TE, App-Programmierung möglich, Sichere Übertragung per optionalem Bluetooth Low Energy OBELISK top3, Maximale Manipulationssicherheit, Zeitschaltprogramme können nur dann von der App in die Uhr übertragen werden, wenn der Bluetooth OBELISK top3 in der Uhr steckt, 600 Watt LED-Leistung, 800 Ampere/200 Mikrosekunden Einschaltstrom, geringe Stand-by Leistung, Betriebsstundenzähler, DuoFix Steckklemmen, Gangreserve und programmierte Sommer-/Winterzeitumstellung, OBELISK-Schnittstelle für PC-Programmierung</w:t>
      </w:r>
    </w:p>
    <w:p w14:paraId="0E8BFBC8" w14:textId="77777777" w:rsidR="001172A9" w:rsidRDefault="001172A9" w:rsidP="0008399B">
      <w:pPr>
        <w:rPr>
          <w:rFonts w:ascii="Arial" w:hAnsi="Arial" w:cs="Arial"/>
          <w:sz w:val="20"/>
          <w:szCs w:val="20"/>
        </w:rPr>
      </w:pPr>
    </w:p>
    <w:p w14:paraId="5F383CEA" w14:textId="77777777" w:rsidR="00D52A4C" w:rsidRPr="00F40F22" w:rsidRDefault="00D52A4C" w:rsidP="00D52A4C">
      <w:pPr>
        <w:rPr>
          <w:rFonts w:ascii="Arial" w:hAnsi="Arial" w:cs="Arial"/>
          <w:sz w:val="20"/>
          <w:szCs w:val="20"/>
        </w:rPr>
      </w:pPr>
      <w:r w:rsidRPr="00F40F22">
        <w:rPr>
          <w:rFonts w:ascii="Arial" w:hAnsi="Arial" w:cs="Arial"/>
          <w:sz w:val="20"/>
          <w:szCs w:val="20"/>
        </w:rPr>
        <w:t xml:space="preserve">ReShape: </w:t>
      </w:r>
    </w:p>
    <w:p w14:paraId="0B85D439" w14:textId="77777777" w:rsidR="00D52A4C" w:rsidRDefault="00D52A4C" w:rsidP="00D52A4C">
      <w:pPr>
        <w:rPr>
          <w:rFonts w:ascii="Aptos Narrow" w:hAnsi="Aptos Narrow"/>
          <w:color w:val="000000"/>
          <w:sz w:val="22"/>
          <w:szCs w:val="22"/>
        </w:rPr>
      </w:pPr>
      <w:r>
        <w:rPr>
          <w:rFonts w:ascii="Aptos Narrow" w:hAnsi="Aptos Narrow"/>
          <w:color w:val="000000"/>
          <w:sz w:val="22"/>
          <w:szCs w:val="22"/>
        </w:rPr>
        <w:t>Kunststoffgehäuse (Gehäuseober und -unterteil, Schieber) mit 93% Rezyklatanteil aus Industrieabfällen (PIR - Post Industrial Recycled).</w:t>
      </w:r>
    </w:p>
    <w:p w14:paraId="2BC46775" w14:textId="77777777" w:rsidR="00647A5F" w:rsidRDefault="00647A5F" w:rsidP="0008399B">
      <w:pPr>
        <w:rPr>
          <w:rFonts w:ascii="Arial" w:hAnsi="Arial" w:cs="Arial"/>
          <w:sz w:val="20"/>
          <w:szCs w:val="20"/>
        </w:rPr>
      </w:pPr>
    </w:p>
    <w:p w14:paraId="2B46F150" w14:textId="77777777" w:rsidR="008433A6" w:rsidRDefault="008433A6">
      <w:pPr>
        <w:rPr>
          <w:rFonts w:ascii="Arial" w:hAnsi="Arial" w:cs="Arial"/>
          <w:sz w:val="20"/>
          <w:szCs w:val="20"/>
        </w:rPr>
      </w:pPr>
      <w:r>
        <w:rPr>
          <w:rFonts w:ascii="Arial" w:hAnsi="Arial" w:cs="Arial"/>
          <w:sz w:val="20"/>
          <w:szCs w:val="20"/>
        </w:rPr>
        <w:t>Liefern, montieren, betriebsfertig anschließen und einstellen</w:t>
      </w:r>
    </w:p>
    <w:p w14:paraId="5BA452BE" w14:textId="77777777" w:rsidR="008433A6" w:rsidRDefault="008433A6">
      <w:pPr>
        <w:rPr>
          <w:rFonts w:ascii="Arial" w:hAnsi="Arial" w:cs="Arial"/>
          <w:sz w:val="20"/>
          <w:szCs w:val="20"/>
        </w:rPr>
      </w:pPr>
    </w:p>
    <w:p w14:paraId="4A072435" w14:textId="77777777" w:rsidR="008433A6" w:rsidRPr="00D52A4C" w:rsidRDefault="008433A6">
      <w:pPr>
        <w:rPr>
          <w:rFonts w:ascii="Arial" w:hAnsi="Arial" w:cs="Arial"/>
          <w:sz w:val="20"/>
          <w:szCs w:val="20"/>
          <w:lang w:val="en-GB"/>
        </w:rPr>
      </w:pPr>
      <w:r w:rsidRPr="00D52A4C">
        <w:rPr>
          <w:rFonts w:ascii="Arial" w:hAnsi="Arial" w:cs="Arial"/>
          <w:sz w:val="20"/>
          <w:szCs w:val="20"/>
          <w:lang w:val="en-GB"/>
        </w:rPr>
        <w:t>Fabrikat: Theben</w:t>
      </w:r>
    </w:p>
    <w:p w14:paraId="0F04CF49" w14:textId="77777777" w:rsidR="008433A6" w:rsidRPr="00D52A4C" w:rsidRDefault="008433A6">
      <w:pPr>
        <w:rPr>
          <w:rFonts w:ascii="Arial" w:hAnsi="Arial" w:cs="Arial"/>
          <w:sz w:val="20"/>
          <w:szCs w:val="20"/>
          <w:lang w:val="en-GB"/>
        </w:rPr>
      </w:pPr>
    </w:p>
    <w:p w14:paraId="4690E8AE" w14:textId="77777777" w:rsidR="008433A6" w:rsidRPr="00D52A4C" w:rsidRDefault="0008399B">
      <w:pPr>
        <w:rPr>
          <w:rFonts w:ascii="Arial" w:hAnsi="Arial" w:cs="Arial"/>
          <w:sz w:val="20"/>
          <w:szCs w:val="20"/>
          <w:lang w:val="en-GB"/>
        </w:rPr>
      </w:pPr>
      <w:r w:rsidRPr="00D52A4C">
        <w:rPr>
          <w:rFonts w:ascii="Arial" w:hAnsi="Arial" w:cs="Arial"/>
          <w:sz w:val="20"/>
          <w:szCs w:val="20"/>
          <w:lang w:val="en-GB"/>
        </w:rPr>
        <w:t xml:space="preserve">Typ: </w:t>
      </w:r>
      <w:r w:rsidR="001172A9" w:rsidRPr="00D52A4C">
        <w:rPr>
          <w:rFonts w:ascii="Arial" w:hAnsi="Arial" w:cs="Arial"/>
          <w:sz w:val="20"/>
          <w:szCs w:val="20"/>
          <w:lang w:val="en-GB"/>
        </w:rPr>
        <w:t>LUNA 121 top3 EL</w:t>
      </w:r>
    </w:p>
    <w:p w14:paraId="403B27CA" w14:textId="77777777" w:rsidR="008433A6" w:rsidRDefault="0008399B">
      <w:pPr>
        <w:rPr>
          <w:rFonts w:ascii="Arial" w:hAnsi="Arial" w:cs="Arial"/>
          <w:sz w:val="20"/>
          <w:szCs w:val="20"/>
        </w:rPr>
      </w:pPr>
      <w:r>
        <w:rPr>
          <w:rFonts w:ascii="Arial" w:hAnsi="Arial" w:cs="Arial"/>
          <w:sz w:val="20"/>
          <w:szCs w:val="20"/>
        </w:rPr>
        <w:t xml:space="preserve">Bestell-Nr.: </w:t>
      </w:r>
      <w:r w:rsidR="001172A9" w:rsidRPr="001172A9">
        <w:rPr>
          <w:rFonts w:ascii="Arial" w:hAnsi="Arial" w:cs="Arial"/>
          <w:sz w:val="20"/>
          <w:szCs w:val="20"/>
        </w:rPr>
        <w:t>1210230</w:t>
      </w:r>
    </w:p>
    <w:p w14:paraId="38723C49" w14:textId="77777777" w:rsidR="008433A6" w:rsidRDefault="008433A6">
      <w:pPr>
        <w:rPr>
          <w:rFonts w:ascii="Arial" w:hAnsi="Arial" w:cs="Arial"/>
          <w:sz w:val="20"/>
          <w:szCs w:val="20"/>
        </w:rPr>
      </w:pPr>
    </w:p>
    <w:p w14:paraId="117F9670" w14:textId="77777777" w:rsidR="008433A6" w:rsidRPr="0008399B" w:rsidRDefault="0008399B">
      <w:pPr>
        <w:rPr>
          <w:rFonts w:ascii="Arial" w:hAnsi="Arial" w:cs="Arial"/>
          <w:b/>
          <w:sz w:val="20"/>
          <w:szCs w:val="20"/>
        </w:rPr>
      </w:pPr>
      <w:r>
        <w:rPr>
          <w:rFonts w:ascii="Arial" w:hAnsi="Arial" w:cs="Arial"/>
          <w:b/>
          <w:sz w:val="20"/>
          <w:szCs w:val="20"/>
        </w:rPr>
        <w:t>Einheit: ST</w:t>
      </w:r>
    </w:p>
    <w:sectPr w:rsidR="008433A6" w:rsidRPr="0008399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2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399B"/>
    <w:rsid w:val="0008399B"/>
    <w:rsid w:val="001043DA"/>
    <w:rsid w:val="00111E74"/>
    <w:rsid w:val="001172A9"/>
    <w:rsid w:val="00363531"/>
    <w:rsid w:val="003B51C0"/>
    <w:rsid w:val="00647A5F"/>
    <w:rsid w:val="007E2268"/>
    <w:rsid w:val="008433A6"/>
    <w:rsid w:val="00D52A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DEB2D"/>
  <w15:chartTrackingRefBased/>
  <w15:docId w15:val="{750542C4-DAE6-4BBF-9328-9B304EFA3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2310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161</Words>
  <Characters>1021</Characters>
  <Application>Microsoft Office Word</Application>
  <DocSecurity>4</DocSecurity>
  <Lines>8</Lines>
  <Paragraphs>2</Paragraphs>
  <ScaleCrop>false</ScaleCrop>
  <HeadingPairs>
    <vt:vector size="2" baseType="variant">
      <vt:variant>
        <vt:lpstr>Titel</vt:lpstr>
      </vt:variant>
      <vt:variant>
        <vt:i4>1</vt:i4>
      </vt:variant>
    </vt:vector>
  </HeadingPairs>
  <TitlesOfParts>
    <vt:vector size="1" baseType="lpstr">
      <vt:lpstr>Reiheneinbau-Ausschaltvorwarner kombinierbar mit Treppenlichtzeitschalter (ELPA 4)</vt:lpstr>
    </vt:vector>
  </TitlesOfParts>
  <Company>Theben AG</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Reiheneinbau-Ausschaltvorwarner kombinierbar mit Treppenlichtzeitschalter (ELPA 4)</dc:title>
  <dc:subject/>
  <dc:creator>Administrator</dc:creator>
  <cp:keywords/>
  <cp:lastModifiedBy>Jürgen Schwitzer</cp:lastModifiedBy>
  <cp:revision>2</cp:revision>
  <dcterms:created xsi:type="dcterms:W3CDTF">2026-10-16T12:59:00Z</dcterms:created>
  <dcterms:modified xsi:type="dcterms:W3CDTF">2026-10-16T12:59:00Z</dcterms:modified>
</cp:coreProperties>
</file>