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2917" w14:textId="77777777" w:rsidR="002D3B53" w:rsidRDefault="002D3B5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Digitaler</w:t>
      </w:r>
      <w:r w:rsidR="00440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Dämmerungsschalter, 2 TE, 2-99000 Lux, Wochenprogramm</w:t>
      </w:r>
      <w:r w:rsidR="003F0DAE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m. Aufbau- Lichts. (LUNA 121 top</w:t>
      </w:r>
      <w:r w:rsidR="00440258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0258">
        <w:rPr>
          <w:rFonts w:ascii="Arial" w:hAnsi="Arial" w:cs="Arial"/>
          <w:b/>
          <w:sz w:val="20"/>
          <w:szCs w:val="20"/>
        </w:rPr>
        <w:t>RC AL</w:t>
      </w:r>
      <w:r>
        <w:rPr>
          <w:rFonts w:ascii="Arial" w:hAnsi="Arial" w:cs="Arial"/>
          <w:b/>
          <w:sz w:val="20"/>
          <w:szCs w:val="20"/>
        </w:rPr>
        <w:t>)</w:t>
      </w:r>
    </w:p>
    <w:p w14:paraId="7C4B13F8" w14:textId="77777777" w:rsidR="002D3B53" w:rsidRDefault="002D3B53">
      <w:pPr>
        <w:rPr>
          <w:rFonts w:ascii="Arial" w:hAnsi="Arial" w:cs="Arial"/>
          <w:sz w:val="20"/>
          <w:szCs w:val="20"/>
        </w:rPr>
      </w:pPr>
    </w:p>
    <w:p w14:paraId="674A0F45" w14:textId="77777777" w:rsidR="002D3B53" w:rsidRDefault="002D3B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Digitaler Reiheneinbau-Dämmerungsschalter</w:t>
      </w:r>
      <w:r w:rsidR="00440258">
        <w:rPr>
          <w:rFonts w:ascii="Arial" w:hAnsi="Arial" w:cs="Arial"/>
          <w:sz w:val="20"/>
          <w:szCs w:val="20"/>
        </w:rPr>
        <w:t xml:space="preserve"> mit integrierter Zeitschaltuhr</w:t>
      </w:r>
      <w:r>
        <w:rPr>
          <w:rFonts w:ascii="Arial" w:hAnsi="Arial" w:cs="Arial"/>
          <w:sz w:val="20"/>
          <w:szCs w:val="20"/>
        </w:rPr>
        <w:t>;</w:t>
      </w:r>
      <w:r w:rsidR="001379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separater Aufbau-Lichtsensor (IP 55); </w:t>
      </w:r>
      <w:r w:rsidR="003F0DAE">
        <w:rPr>
          <w:rFonts w:ascii="Arial" w:hAnsi="Arial" w:cs="Arial"/>
          <w:sz w:val="20"/>
        </w:rPr>
        <w:t>Antennenschnittstelle RC-DCF oder RC-GPS</w:t>
      </w:r>
      <w:r w:rsidR="003F0DAE">
        <w:rPr>
          <w:rFonts w:ascii="Arial" w:hAnsi="Arial" w:cs="Arial"/>
          <w:sz w:val="20"/>
          <w:szCs w:val="20"/>
        </w:rPr>
        <w:t xml:space="preserve">; </w:t>
      </w:r>
      <w:r w:rsidR="00137930" w:rsidRPr="0008399B">
        <w:rPr>
          <w:rFonts w:ascii="Arial" w:hAnsi="Arial" w:cs="Arial"/>
          <w:sz w:val="20"/>
          <w:szCs w:val="20"/>
        </w:rPr>
        <w:t xml:space="preserve">App-Programmierung möglich; </w:t>
      </w:r>
      <w:r w:rsidR="00137930">
        <w:rPr>
          <w:rFonts w:ascii="Arial" w:hAnsi="Arial" w:cs="Arial"/>
          <w:sz w:val="20"/>
          <w:szCs w:val="20"/>
        </w:rPr>
        <w:t>s</w:t>
      </w:r>
      <w:r w:rsidR="00137930" w:rsidRPr="0008399B">
        <w:rPr>
          <w:rFonts w:ascii="Arial" w:hAnsi="Arial" w:cs="Arial"/>
          <w:sz w:val="20"/>
          <w:szCs w:val="20"/>
        </w:rPr>
        <w:t>ichere</w:t>
      </w:r>
      <w:r w:rsidR="00137930">
        <w:rPr>
          <w:rFonts w:ascii="Arial" w:hAnsi="Arial" w:cs="Arial"/>
          <w:sz w:val="20"/>
          <w:szCs w:val="20"/>
        </w:rPr>
        <w:t xml:space="preserve"> </w:t>
      </w:r>
      <w:r w:rsidR="00137930" w:rsidRPr="0008399B">
        <w:rPr>
          <w:rFonts w:ascii="Arial" w:hAnsi="Arial" w:cs="Arial"/>
          <w:sz w:val="20"/>
          <w:szCs w:val="20"/>
        </w:rPr>
        <w:t xml:space="preserve">Übertragung per optionalem Bluetooth Low Energy OBELISK top3; </w:t>
      </w:r>
      <w:r w:rsidR="00137930">
        <w:rPr>
          <w:rFonts w:ascii="Arial" w:hAnsi="Arial" w:cs="Arial"/>
          <w:sz w:val="20"/>
          <w:szCs w:val="20"/>
        </w:rPr>
        <w:t>m</w:t>
      </w:r>
      <w:r w:rsidR="00137930" w:rsidRPr="0008399B">
        <w:rPr>
          <w:rFonts w:ascii="Arial" w:hAnsi="Arial" w:cs="Arial"/>
          <w:sz w:val="20"/>
          <w:szCs w:val="20"/>
        </w:rPr>
        <w:t>aximale Manipulationssicherheit;</w:t>
      </w:r>
      <w:r w:rsidR="00137930">
        <w:rPr>
          <w:rFonts w:ascii="Arial" w:hAnsi="Arial" w:cs="Arial"/>
          <w:sz w:val="20"/>
          <w:szCs w:val="20"/>
        </w:rPr>
        <w:t xml:space="preserve"> </w:t>
      </w:r>
      <w:r w:rsidR="00137930" w:rsidRPr="0008399B">
        <w:rPr>
          <w:rFonts w:ascii="Arial" w:hAnsi="Arial" w:cs="Arial"/>
          <w:sz w:val="20"/>
          <w:szCs w:val="20"/>
        </w:rPr>
        <w:t>Zeitschaltprogramme können nur dann von der App übertragen werden, wenn der optionale Bluetooth</w:t>
      </w:r>
      <w:r w:rsidR="00137930">
        <w:rPr>
          <w:rFonts w:ascii="Arial" w:hAnsi="Arial" w:cs="Arial"/>
          <w:sz w:val="20"/>
          <w:szCs w:val="20"/>
        </w:rPr>
        <w:t xml:space="preserve"> </w:t>
      </w:r>
      <w:r w:rsidR="00137930" w:rsidRPr="0008399B">
        <w:rPr>
          <w:rFonts w:ascii="Arial" w:hAnsi="Arial" w:cs="Arial"/>
          <w:sz w:val="20"/>
          <w:szCs w:val="20"/>
        </w:rPr>
        <w:t>OBELISK top3 steckt; 100 % kompatibel zu</w:t>
      </w:r>
      <w:r w:rsidR="00137930">
        <w:rPr>
          <w:rFonts w:ascii="Arial" w:hAnsi="Arial" w:cs="Arial"/>
          <w:sz w:val="20"/>
          <w:szCs w:val="20"/>
        </w:rPr>
        <w:t xml:space="preserve"> </w:t>
      </w:r>
      <w:r w:rsidR="00137930" w:rsidRPr="0008399B">
        <w:rPr>
          <w:rFonts w:ascii="Arial" w:hAnsi="Arial" w:cs="Arial"/>
          <w:sz w:val="20"/>
          <w:szCs w:val="20"/>
        </w:rPr>
        <w:t>top2; 600 Watt LED-Leistung;</w:t>
      </w:r>
      <w:r w:rsidR="001379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Helligkeitsbereich: 2</w:t>
      </w:r>
      <w:r w:rsidR="00440258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99 000 Lux; Ein-/Ausschalt- Verzögerung 0-59</w:t>
      </w:r>
      <w:r w:rsidR="004402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min.; hinterleuchtetes Display; Schnittstelle Speicherkarte/PC; externer </w:t>
      </w:r>
      <w:r w:rsidR="00440258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ingang; Betriebsstundenzähler für Leuchtmittel;</w:t>
      </w:r>
      <w:r>
        <w:rPr>
          <w:rFonts w:cs="Arial"/>
          <w:sz w:val="16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Testtaste, EIN/AUS permanent; </w:t>
      </w:r>
      <w:proofErr w:type="spellStart"/>
      <w:r>
        <w:rPr>
          <w:rFonts w:ascii="Arial" w:hAnsi="Arial" w:cs="Arial"/>
          <w:sz w:val="20"/>
          <w:szCs w:val="20"/>
        </w:rPr>
        <w:t>DuoFix</w:t>
      </w:r>
      <w:proofErr w:type="spellEnd"/>
      <w:r>
        <w:rPr>
          <w:rFonts w:ascii="Arial" w:hAnsi="Arial" w:cs="Arial"/>
          <w:sz w:val="20"/>
          <w:szCs w:val="20"/>
        </w:rPr>
        <w:t>-Steckklemmen; PIN</w:t>
      </w:r>
      <w:r w:rsidR="00440258">
        <w:rPr>
          <w:rFonts w:ascii="Arial" w:hAnsi="Arial" w:cs="Arial"/>
          <w:sz w:val="20"/>
          <w:szCs w:val="20"/>
        </w:rPr>
        <w:t>-V</w:t>
      </w:r>
      <w:r>
        <w:rPr>
          <w:rFonts w:ascii="Arial" w:hAnsi="Arial" w:cs="Arial"/>
          <w:sz w:val="20"/>
          <w:szCs w:val="20"/>
        </w:rPr>
        <w:t xml:space="preserve">erschlüsselung; 10 Jahre Gangreserve; Nulldurchgangsschaltung; 1 Wechsler 16A/250V~; Klarsichtabdeckung </w:t>
      </w:r>
      <w:proofErr w:type="spellStart"/>
      <w:r>
        <w:rPr>
          <w:rFonts w:ascii="Arial" w:hAnsi="Arial" w:cs="Arial"/>
          <w:sz w:val="20"/>
          <w:szCs w:val="20"/>
        </w:rPr>
        <w:t>plombierbar</w:t>
      </w:r>
      <w:proofErr w:type="spellEnd"/>
    </w:p>
    <w:p w14:paraId="3DA37F90" w14:textId="77777777" w:rsidR="00F40F22" w:rsidRDefault="00F40F22">
      <w:pPr>
        <w:rPr>
          <w:rFonts w:ascii="Arial" w:hAnsi="Arial" w:cs="Arial"/>
          <w:sz w:val="20"/>
          <w:szCs w:val="20"/>
        </w:rPr>
      </w:pPr>
    </w:p>
    <w:p w14:paraId="46716066" w14:textId="77777777" w:rsidR="00F40F22" w:rsidRPr="00F40F22" w:rsidRDefault="00F40F22" w:rsidP="00F40F22">
      <w:pPr>
        <w:rPr>
          <w:rFonts w:ascii="Arial" w:hAnsi="Arial" w:cs="Arial"/>
          <w:sz w:val="20"/>
          <w:szCs w:val="20"/>
        </w:rPr>
      </w:pPr>
      <w:proofErr w:type="spellStart"/>
      <w:r w:rsidRPr="00F40F22">
        <w:rPr>
          <w:rFonts w:ascii="Arial" w:hAnsi="Arial" w:cs="Arial"/>
          <w:sz w:val="20"/>
          <w:szCs w:val="20"/>
        </w:rPr>
        <w:t>ReShape</w:t>
      </w:r>
      <w:proofErr w:type="spellEnd"/>
      <w:r w:rsidRPr="00F40F22">
        <w:rPr>
          <w:rFonts w:ascii="Arial" w:hAnsi="Arial" w:cs="Arial"/>
          <w:sz w:val="20"/>
          <w:szCs w:val="20"/>
        </w:rPr>
        <w:t xml:space="preserve">: </w:t>
      </w:r>
    </w:p>
    <w:p w14:paraId="6BA052A4" w14:textId="068C1122" w:rsidR="00F40F22" w:rsidRDefault="00F40F22" w:rsidP="00F40F22">
      <w:pPr>
        <w:rPr>
          <w:rFonts w:ascii="Arial" w:hAnsi="Arial" w:cs="Arial"/>
          <w:sz w:val="20"/>
          <w:szCs w:val="20"/>
        </w:rPr>
      </w:pPr>
      <w:r w:rsidRPr="00F40F22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F40F22">
        <w:rPr>
          <w:rFonts w:ascii="Arial" w:hAnsi="Arial" w:cs="Arial"/>
          <w:sz w:val="20"/>
          <w:szCs w:val="20"/>
        </w:rPr>
        <w:t>ReShape</w:t>
      </w:r>
      <w:proofErr w:type="spellEnd"/>
      <w:r w:rsidRPr="00F40F22">
        <w:rPr>
          <w:rFonts w:ascii="Arial" w:hAnsi="Arial" w:cs="Arial"/>
          <w:sz w:val="20"/>
          <w:szCs w:val="20"/>
        </w:rPr>
        <w:t xml:space="preserve"> uneingeschränkt erfüllt.</w:t>
      </w:r>
    </w:p>
    <w:p w14:paraId="1F38C5C6" w14:textId="77777777" w:rsidR="002D3B53" w:rsidRDefault="002D3B53">
      <w:pPr>
        <w:rPr>
          <w:rFonts w:ascii="Arial" w:hAnsi="Arial" w:cs="Arial"/>
          <w:sz w:val="20"/>
          <w:szCs w:val="20"/>
        </w:rPr>
      </w:pPr>
    </w:p>
    <w:p w14:paraId="6008127F" w14:textId="77777777" w:rsidR="002D3B53" w:rsidRDefault="002D3B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30BA7C9C" w14:textId="77777777" w:rsidR="002D3B53" w:rsidRDefault="002D3B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14:paraId="7D4B4AC7" w14:textId="77777777" w:rsidR="002D3B53" w:rsidRDefault="002D3B53">
      <w:pPr>
        <w:rPr>
          <w:rFonts w:ascii="Arial" w:hAnsi="Arial" w:cs="Arial"/>
          <w:sz w:val="20"/>
          <w:szCs w:val="20"/>
        </w:rPr>
      </w:pPr>
    </w:p>
    <w:p w14:paraId="4C80B9E4" w14:textId="77777777" w:rsidR="002D3B53" w:rsidRDefault="002D3B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01683493" w14:textId="77777777" w:rsidR="002D3B53" w:rsidRDefault="002D3B53">
      <w:pPr>
        <w:rPr>
          <w:rFonts w:ascii="Arial" w:hAnsi="Arial" w:cs="Arial"/>
          <w:szCs w:val="20"/>
        </w:rPr>
      </w:pPr>
    </w:p>
    <w:p w14:paraId="15B5AF97" w14:textId="77777777" w:rsidR="002D3B53" w:rsidRPr="00440258" w:rsidRDefault="002D3B53">
      <w:pPr>
        <w:rPr>
          <w:rFonts w:ascii="Arial" w:hAnsi="Arial" w:cs="Arial"/>
          <w:sz w:val="20"/>
          <w:szCs w:val="20"/>
          <w:lang w:val="en-GB"/>
        </w:rPr>
      </w:pPr>
      <w:proofErr w:type="spellStart"/>
      <w:r w:rsidRPr="00440258">
        <w:rPr>
          <w:rFonts w:ascii="Arial" w:hAnsi="Arial" w:cs="Arial"/>
          <w:sz w:val="20"/>
          <w:szCs w:val="20"/>
          <w:lang w:val="en-GB"/>
        </w:rPr>
        <w:t>Typ</w:t>
      </w:r>
      <w:proofErr w:type="spellEnd"/>
      <w:r w:rsidRPr="00440258">
        <w:rPr>
          <w:rFonts w:ascii="Arial" w:hAnsi="Arial" w:cs="Arial"/>
          <w:sz w:val="20"/>
          <w:szCs w:val="20"/>
          <w:lang w:val="en-GB"/>
        </w:rPr>
        <w:t>: LUNA 121 top</w:t>
      </w:r>
      <w:r w:rsidR="00440258" w:rsidRPr="00440258">
        <w:rPr>
          <w:rFonts w:ascii="Arial" w:hAnsi="Arial" w:cs="Arial"/>
          <w:sz w:val="20"/>
          <w:szCs w:val="20"/>
          <w:lang w:val="en-GB"/>
        </w:rPr>
        <w:t>3</w:t>
      </w:r>
      <w:r w:rsidRPr="00440258">
        <w:rPr>
          <w:rFonts w:ascii="Arial" w:hAnsi="Arial" w:cs="Arial"/>
          <w:sz w:val="20"/>
          <w:szCs w:val="20"/>
          <w:lang w:val="en-GB"/>
        </w:rPr>
        <w:t xml:space="preserve"> RC </w:t>
      </w:r>
      <w:r w:rsidR="00440258" w:rsidRPr="00440258">
        <w:rPr>
          <w:rFonts w:ascii="Arial" w:hAnsi="Arial" w:cs="Arial"/>
          <w:sz w:val="20"/>
          <w:szCs w:val="20"/>
          <w:lang w:val="en-GB"/>
        </w:rPr>
        <w:t>AL</w:t>
      </w:r>
    </w:p>
    <w:p w14:paraId="761DF292" w14:textId="77777777" w:rsidR="002D3B53" w:rsidRPr="00440258" w:rsidRDefault="002D3B53">
      <w:pPr>
        <w:rPr>
          <w:rFonts w:ascii="Arial" w:hAnsi="Arial" w:cs="Arial"/>
          <w:sz w:val="20"/>
          <w:szCs w:val="20"/>
          <w:lang w:val="en-GB"/>
        </w:rPr>
      </w:pPr>
      <w:proofErr w:type="spellStart"/>
      <w:r w:rsidRPr="00440258">
        <w:rPr>
          <w:rFonts w:ascii="Arial" w:hAnsi="Arial" w:cs="Arial"/>
          <w:sz w:val="20"/>
          <w:szCs w:val="20"/>
          <w:lang w:val="en-GB"/>
        </w:rPr>
        <w:t>Bestell</w:t>
      </w:r>
      <w:proofErr w:type="spellEnd"/>
      <w:r w:rsidRPr="00440258">
        <w:rPr>
          <w:rFonts w:ascii="Arial" w:hAnsi="Arial" w:cs="Arial"/>
          <w:sz w:val="20"/>
          <w:szCs w:val="20"/>
          <w:lang w:val="en-GB"/>
        </w:rPr>
        <w:t>-Nr.: 12101</w:t>
      </w:r>
      <w:r w:rsidR="00440258">
        <w:rPr>
          <w:rFonts w:ascii="Arial" w:hAnsi="Arial" w:cs="Arial"/>
          <w:sz w:val="20"/>
          <w:szCs w:val="20"/>
          <w:lang w:val="en-GB"/>
        </w:rPr>
        <w:t>3</w:t>
      </w:r>
      <w:r w:rsidRPr="00440258">
        <w:rPr>
          <w:rFonts w:ascii="Arial" w:hAnsi="Arial" w:cs="Arial"/>
          <w:sz w:val="20"/>
          <w:szCs w:val="20"/>
          <w:lang w:val="en-GB"/>
        </w:rPr>
        <w:t>0</w:t>
      </w:r>
    </w:p>
    <w:p w14:paraId="75EFB1A7" w14:textId="77777777" w:rsidR="002D3B53" w:rsidRPr="00440258" w:rsidRDefault="002D3B53">
      <w:pPr>
        <w:rPr>
          <w:rFonts w:ascii="Arial" w:hAnsi="Arial" w:cs="Arial"/>
          <w:sz w:val="20"/>
          <w:szCs w:val="20"/>
          <w:lang w:val="en-GB"/>
        </w:rPr>
      </w:pPr>
    </w:p>
    <w:p w14:paraId="077F3767" w14:textId="77777777" w:rsidR="002D3B53" w:rsidRPr="00440258" w:rsidRDefault="002D3B5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2D3B53" w:rsidRPr="004402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488"/>
    <w:rsid w:val="00137930"/>
    <w:rsid w:val="002D3B53"/>
    <w:rsid w:val="002F23C8"/>
    <w:rsid w:val="003F0DAE"/>
    <w:rsid w:val="003F5EE6"/>
    <w:rsid w:val="00440258"/>
    <w:rsid w:val="008F1D23"/>
    <w:rsid w:val="00962488"/>
    <w:rsid w:val="00F4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F320D0"/>
  <w15:chartTrackingRefBased/>
  <w15:docId w15:val="{982E7EB4-A29E-4210-8910-1B02F928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Schnekenburger David scda - Theben AG</cp:lastModifiedBy>
  <cp:revision>2</cp:revision>
  <dcterms:created xsi:type="dcterms:W3CDTF">2026-04-17T10:47:00Z</dcterms:created>
  <dcterms:modified xsi:type="dcterms:W3CDTF">2026-04-17T10:47:00Z</dcterms:modified>
</cp:coreProperties>
</file>