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4E11" w:rsidRPr="006639F2" w:rsidRDefault="00E900C8" w:rsidP="006D4E11">
      <w:pPr>
        <w:pStyle w:val="berschrift1"/>
        <w:spacing w:after="240"/>
        <w:rPr>
          <w:rFonts w:ascii="Arial" w:hAnsi="Arial" w:cs="Arial"/>
          <w:lang w:val="en-GB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12" o:spid="_x0000_s2050" type="#_x0000_t75" alt="" style="position:absolute;margin-left:361.45pt;margin-top:4.6pt;width:96.45pt;height:95.85pt;z-index:251657728;visibility:visible;mso-wrap-edited:f;mso-width-percent:0;mso-height-percent:0;mso-width-percent:0;mso-height-percent:0">
            <v:imagedata r:id="rId7" o:title="" croptop="5175f" cropbottom="6428f" cropleft="3218f" cropright="11703f"/>
          </v:shape>
        </w:pict>
      </w:r>
      <w:r w:rsidR="00E92A11" w:rsidRPr="006639F2">
        <w:rPr>
          <w:rFonts w:ascii="Arial" w:hAnsi="Arial" w:cs="Arial"/>
          <w:lang w:val="en-GB"/>
        </w:rPr>
        <w:t>Tender text</w:t>
      </w:r>
      <w:r w:rsidR="00E92A11" w:rsidRPr="006639F2">
        <w:rPr>
          <w:b w:val="0"/>
          <w:sz w:val="24"/>
          <w:lang w:val="en-GB"/>
        </w:rPr>
        <w:t xml:space="preserve"> </w:t>
      </w:r>
    </w:p>
    <w:p w:rsidR="00D00BF0" w:rsidRPr="006639F2" w:rsidRDefault="00427F4D" w:rsidP="006D4E11">
      <w:pPr>
        <w:pStyle w:val="berschrift1"/>
        <w:spacing w:after="240"/>
        <w:rPr>
          <w:rFonts w:ascii="Arial" w:hAnsi="Arial" w:cs="Arial"/>
          <w:szCs w:val="28"/>
          <w:lang w:val="en-GB"/>
        </w:rPr>
      </w:pPr>
      <w:r w:rsidRPr="006639F2">
        <w:rPr>
          <w:rFonts w:ascii="Arial" w:hAnsi="Arial" w:cs="Arial"/>
          <w:szCs w:val="28"/>
          <w:lang w:val="en-GB"/>
        </w:rPr>
        <w:t>Motion detector theMura S180-100 UP WH</w:t>
      </w:r>
    </w:p>
    <w:p w:rsidR="00427F4D" w:rsidRPr="004D5108" w:rsidRDefault="00427F4D" w:rsidP="009211A7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Order No. white: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2060650</w:t>
      </w:r>
    </w:p>
    <w:p w:rsidR="009211A7" w:rsidRPr="004D5108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</w:p>
    <w:p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>
        <w:rPr>
          <w:rFonts w:ascii="Arial" w:hAnsi="Arial" w:cs="Arial"/>
          <w:u w:val="single"/>
        </w:rPr>
        <w:t>Features:</w:t>
      </w:r>
      <w:r>
        <w:rPr>
          <w:rFonts w:ascii="Frutiger LT Com 45 Light" w:hAnsi="Frutiger LT Com 45 Light" w:cs="Times New Roman"/>
          <w:noProof/>
          <w:color w:val="auto"/>
          <w:sz w:val="24"/>
        </w:rPr>
        <w:t xml:space="preserve"> </w:t>
      </w:r>
    </w:p>
    <w:p w:rsidR="007F4E69" w:rsidRPr="006639F2" w:rsidRDefault="00427F4D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Passive infra-red motion detector for wall mounting in flush-mounted box</w:t>
      </w:r>
    </w:p>
    <w:p w:rsidR="00AB443F" w:rsidRPr="004D5108" w:rsidRDefault="00AB443F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Cover in Theben design</w:t>
      </w:r>
    </w:p>
    <w:p w:rsidR="007F4E69" w:rsidRPr="006639F2" w:rsidRDefault="00F213AE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 xml:space="preserve">Automatic presence and brightness-dependent control for lighting </w:t>
      </w:r>
    </w:p>
    <w:p w:rsidR="00A75E61" w:rsidRPr="006639F2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Rectangular detection area 170°, max. 14 m x 17 m</w:t>
      </w:r>
    </w:p>
    <w:p w:rsidR="00A651B8" w:rsidRPr="006639F2" w:rsidRDefault="001C5AE6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Area restriction in scope of delivery</w:t>
      </w:r>
    </w:p>
    <w:p w:rsidR="00F50BD0" w:rsidRPr="006639F2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Mixed light measurement suitable for fluorescent lamps (FL/PL/ESL), halogen/incandescent lamps and LEDs</w:t>
      </w:r>
    </w:p>
    <w:p w:rsidR="00AB443F" w:rsidRPr="006639F2" w:rsidRDefault="00AB443F" w:rsidP="00F50BD0">
      <w:pPr>
        <w:pStyle w:val="Aufzhlung"/>
        <w:numPr>
          <w:ilvl w:val="0"/>
          <w:numId w:val="5"/>
        </w:numPr>
        <w:rPr>
          <w:rFonts w:ascii="Arial" w:hAnsi="Arial" w:cs="Arial"/>
          <w:b/>
          <w:lang w:val="en-GB"/>
        </w:rPr>
      </w:pPr>
      <w:r w:rsidRPr="006639F2">
        <w:rPr>
          <w:rFonts w:ascii="Arial" w:hAnsi="Arial" w:cs="Arial"/>
          <w:b/>
          <w:lang w:val="en-GB"/>
        </w:rPr>
        <w:t>Integrated button (can be deactivated)</w:t>
      </w:r>
    </w:p>
    <w:p w:rsidR="00F50BD0" w:rsidRPr="006639F2" w:rsidRDefault="001B798A" w:rsidP="00F50BD0">
      <w:pPr>
        <w:pStyle w:val="Aufzhlung"/>
        <w:numPr>
          <w:ilvl w:val="0"/>
          <w:numId w:val="5"/>
        </w:numPr>
        <w:rPr>
          <w:rFonts w:ascii="Arial" w:hAnsi="Arial" w:cs="Arial"/>
          <w:b/>
          <w:lang w:val="en-GB"/>
        </w:rPr>
      </w:pPr>
      <w:r w:rsidRPr="006639F2">
        <w:rPr>
          <w:rFonts w:ascii="Arial" w:hAnsi="Arial" w:cs="Arial"/>
          <w:b/>
          <w:lang w:val="en-GB"/>
        </w:rPr>
        <w:t>Fully or semi-automatic operation, switchable</w:t>
      </w:r>
    </w:p>
    <w:p w:rsidR="00AB443F" w:rsidRDefault="00AB443F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Staircase light function</w:t>
      </w:r>
    </w:p>
    <w:p w:rsidR="00AB443F" w:rsidRPr="00E20CCF" w:rsidRDefault="00AB443F" w:rsidP="00F50BD0">
      <w:pPr>
        <w:pStyle w:val="Aufzhlung"/>
        <w:numPr>
          <w:ilvl w:val="0"/>
          <w:numId w:val="5"/>
        </w:numPr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</w:rPr>
        <w:t>Extended function</w:t>
      </w:r>
    </w:p>
    <w:p w:rsidR="004C6BD9" w:rsidRPr="006639F2" w:rsidRDefault="004C6BD9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Adjustable brightness switching value, teach-in function</w:t>
      </w:r>
    </w:p>
    <w:p w:rsidR="00F50BD0" w:rsidRPr="006639F2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Pulse function for staircase light timer switch</w:t>
      </w:r>
    </w:p>
    <w:p w:rsidR="00F50BD0" w:rsidRPr="006639F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 xml:space="preserve">Ready for immediate use due to factory presetting </w:t>
      </w:r>
    </w:p>
    <w:p w:rsidR="00F50BD0" w:rsidRPr="006639F2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>Test mode for checking the detection area</w:t>
      </w:r>
    </w:p>
    <w:p w:rsidR="00AB443F" w:rsidRPr="006639F2" w:rsidRDefault="00AB443F" w:rsidP="00F50BD0">
      <w:pPr>
        <w:pStyle w:val="Aufzhlung"/>
        <w:numPr>
          <w:ilvl w:val="0"/>
          <w:numId w:val="5"/>
        </w:numPr>
        <w:rPr>
          <w:rFonts w:ascii="Arial" w:hAnsi="Arial" w:cs="Arial"/>
          <w:b/>
          <w:lang w:val="en-GB"/>
        </w:rPr>
      </w:pPr>
      <w:r w:rsidRPr="006639F2">
        <w:rPr>
          <w:rFonts w:ascii="Arial" w:hAnsi="Arial" w:cs="Arial"/>
          <w:b/>
          <w:lang w:val="en-GB"/>
        </w:rPr>
        <w:t>Extension of detection area via master/slave switching</w:t>
      </w:r>
    </w:p>
    <w:p w:rsidR="001B798A" w:rsidRPr="006639F2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en-GB"/>
        </w:rPr>
      </w:pPr>
    </w:p>
    <w:p w:rsidR="00986F7F" w:rsidRPr="006639F2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en-GB"/>
        </w:rPr>
      </w:pPr>
      <w:r w:rsidRPr="006639F2">
        <w:rPr>
          <w:rFonts w:ascii="Arial" w:hAnsi="Arial" w:cs="Arial"/>
          <w:spacing w:val="-3"/>
          <w:u w:val="single"/>
          <w:lang w:val="en-GB"/>
        </w:rPr>
        <w:t>Technical data:</w:t>
      </w:r>
    </w:p>
    <w:p w:rsidR="001B798A" w:rsidRPr="006639F2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6639F2">
        <w:rPr>
          <w:rFonts w:ascii="Arial" w:hAnsi="Arial" w:cs="Arial"/>
          <w:spacing w:val="-3"/>
          <w:lang w:val="en-GB"/>
        </w:rPr>
        <w:t xml:space="preserve">Operating voltage: </w:t>
      </w:r>
      <w:r w:rsidRPr="006639F2">
        <w:rPr>
          <w:rFonts w:ascii="Arial" w:hAnsi="Arial" w:cs="Arial"/>
          <w:spacing w:val="-3"/>
          <w:lang w:val="en-GB"/>
        </w:rPr>
        <w:tab/>
      </w:r>
      <w:r w:rsidRPr="006639F2">
        <w:rPr>
          <w:rFonts w:ascii="Arial" w:hAnsi="Arial" w:cs="Arial"/>
          <w:spacing w:val="-3"/>
          <w:lang w:val="en-GB"/>
        </w:rPr>
        <w:tab/>
      </w:r>
      <w:r w:rsidR="006639F2">
        <w:rPr>
          <w:rFonts w:ascii="Arial" w:hAnsi="Arial" w:cs="Arial"/>
          <w:spacing w:val="-3"/>
          <w:lang w:val="en-GB"/>
        </w:rPr>
        <w:t xml:space="preserve">      </w:t>
      </w:r>
      <w:r w:rsidRPr="006639F2">
        <w:rPr>
          <w:rFonts w:ascii="Arial" w:hAnsi="Arial" w:cs="Arial"/>
          <w:spacing w:val="-3"/>
          <w:lang w:val="en-GB"/>
        </w:rPr>
        <w:t>230 V AC</w:t>
      </w:r>
    </w:p>
    <w:p w:rsidR="00CC6300" w:rsidRPr="006639F2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6639F2">
        <w:rPr>
          <w:rFonts w:ascii="Arial" w:hAnsi="Arial" w:cs="Arial"/>
          <w:spacing w:val="-3"/>
          <w:lang w:val="en-GB"/>
        </w:rPr>
        <w:t xml:space="preserve">Frequency: </w:t>
      </w:r>
      <w:r w:rsidRPr="006639F2">
        <w:rPr>
          <w:rFonts w:ascii="Arial" w:hAnsi="Arial" w:cs="Arial"/>
          <w:spacing w:val="-3"/>
          <w:lang w:val="en-GB"/>
        </w:rPr>
        <w:tab/>
      </w:r>
      <w:r w:rsidRPr="006639F2">
        <w:rPr>
          <w:rFonts w:ascii="Arial" w:hAnsi="Arial" w:cs="Arial"/>
          <w:spacing w:val="-3"/>
          <w:lang w:val="en-GB"/>
        </w:rPr>
        <w:tab/>
      </w:r>
      <w:r w:rsidRPr="006639F2">
        <w:rPr>
          <w:rFonts w:ascii="Arial" w:hAnsi="Arial" w:cs="Arial"/>
          <w:spacing w:val="-3"/>
          <w:lang w:val="en-GB"/>
        </w:rPr>
        <w:tab/>
      </w:r>
      <w:r w:rsidR="006639F2">
        <w:rPr>
          <w:rFonts w:ascii="Arial" w:hAnsi="Arial" w:cs="Arial"/>
          <w:spacing w:val="-3"/>
          <w:lang w:val="en-GB"/>
        </w:rPr>
        <w:t xml:space="preserve">      </w:t>
      </w:r>
      <w:r w:rsidRPr="006639F2">
        <w:rPr>
          <w:rFonts w:ascii="Arial" w:hAnsi="Arial" w:cs="Arial"/>
          <w:spacing w:val="-3"/>
          <w:lang w:val="en-GB"/>
        </w:rPr>
        <w:t>50 – 60 Hz</w:t>
      </w:r>
    </w:p>
    <w:p w:rsidR="00CC6300" w:rsidRPr="006639F2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en-GB"/>
        </w:rPr>
      </w:pPr>
      <w:r w:rsidRPr="006639F2">
        <w:rPr>
          <w:rFonts w:ascii="Arial" w:hAnsi="Arial" w:cs="Arial"/>
          <w:b/>
          <w:spacing w:val="-3"/>
          <w:lang w:val="en-GB"/>
        </w:rPr>
        <w:t xml:space="preserve">Power consumption: </w:t>
      </w:r>
      <w:r w:rsidRPr="006639F2">
        <w:rPr>
          <w:rFonts w:ascii="Arial" w:hAnsi="Arial" w:cs="Arial"/>
          <w:b/>
          <w:spacing w:val="-3"/>
          <w:lang w:val="en-GB"/>
        </w:rPr>
        <w:tab/>
      </w:r>
      <w:r w:rsidRPr="006639F2">
        <w:rPr>
          <w:rFonts w:ascii="Arial" w:hAnsi="Arial" w:cs="Arial"/>
          <w:b/>
          <w:spacing w:val="-3"/>
          <w:lang w:val="en-GB"/>
        </w:rPr>
        <w:tab/>
      </w:r>
      <w:r w:rsidR="006639F2">
        <w:rPr>
          <w:rFonts w:ascii="Arial" w:hAnsi="Arial" w:cs="Arial"/>
          <w:b/>
          <w:spacing w:val="-3"/>
          <w:lang w:val="en-GB"/>
        </w:rPr>
        <w:t xml:space="preserve">      </w:t>
      </w:r>
      <w:r w:rsidRPr="006639F2">
        <w:rPr>
          <w:rFonts w:ascii="Arial" w:hAnsi="Arial" w:cs="Arial"/>
          <w:b/>
          <w:spacing w:val="-3"/>
          <w:lang w:val="en-GB"/>
        </w:rPr>
        <w:t>approx. 0.4 W</w:t>
      </w:r>
    </w:p>
    <w:p w:rsidR="00A75E61" w:rsidRPr="006639F2" w:rsidRDefault="005739DA" w:rsidP="00E769D5">
      <w:pPr>
        <w:pStyle w:val="Aufzhlung"/>
        <w:ind w:left="0" w:firstLine="0"/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spacing w:val="-3"/>
          <w:lang w:val="en-GB"/>
        </w:rPr>
        <w:t xml:space="preserve">Radial detection area: </w:t>
      </w:r>
      <w:r w:rsidRPr="006639F2">
        <w:rPr>
          <w:rFonts w:ascii="Arial" w:hAnsi="Arial" w:cs="Arial"/>
          <w:spacing w:val="-3"/>
          <w:lang w:val="en-GB"/>
        </w:rPr>
        <w:tab/>
      </w:r>
      <w:r w:rsidR="006639F2" w:rsidRPr="006639F2">
        <w:rPr>
          <w:rFonts w:ascii="Arial" w:hAnsi="Arial" w:cs="Arial"/>
          <w:spacing w:val="-3"/>
          <w:lang w:val="en-GB"/>
        </w:rPr>
        <w:tab/>
      </w:r>
      <w:r w:rsidR="006639F2">
        <w:rPr>
          <w:rFonts w:ascii="Arial" w:hAnsi="Arial" w:cs="Arial"/>
          <w:spacing w:val="-3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12 x 10 m</w:t>
      </w:r>
    </w:p>
    <w:p w:rsidR="00A75E61" w:rsidRPr="006639F2" w:rsidRDefault="00317F04" w:rsidP="00A75E61">
      <w:pPr>
        <w:pStyle w:val="Aufzhlung"/>
        <w:ind w:left="0" w:firstLine="0"/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spacing w:val="-3"/>
          <w:lang w:val="en-GB"/>
        </w:rPr>
        <w:t xml:space="preserve">Tangential detection area: </w:t>
      </w:r>
      <w:r w:rsidRPr="006639F2">
        <w:rPr>
          <w:rFonts w:ascii="Arial" w:hAnsi="Arial" w:cs="Arial"/>
          <w:spacing w:val="-3"/>
          <w:lang w:val="en-GB"/>
        </w:rPr>
        <w:tab/>
      </w:r>
      <w:r w:rsidR="006639F2">
        <w:rPr>
          <w:rFonts w:ascii="Arial" w:hAnsi="Arial" w:cs="Arial"/>
          <w:spacing w:val="-3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14 x 17 m</w:t>
      </w:r>
    </w:p>
    <w:p w:rsidR="00A75E61" w:rsidRPr="006639F2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en-GB"/>
        </w:rPr>
      </w:pPr>
      <w:r w:rsidRPr="006639F2">
        <w:rPr>
          <w:rFonts w:ascii="Arial" w:hAnsi="Arial" w:cs="Arial"/>
          <w:lang w:val="en-GB"/>
        </w:rPr>
        <w:t xml:space="preserve">Installation height Mh: </w:t>
      </w:r>
      <w:r w:rsidRPr="006639F2">
        <w:rPr>
          <w:rFonts w:ascii="Arial" w:hAnsi="Arial" w:cs="Arial"/>
          <w:lang w:val="en-GB"/>
        </w:rPr>
        <w:tab/>
      </w:r>
      <w:r w:rsidRPr="006639F2">
        <w:rPr>
          <w:rFonts w:ascii="Arial" w:hAnsi="Arial" w:cs="Arial"/>
          <w:lang w:val="en-GB"/>
        </w:rPr>
        <w:tab/>
      </w:r>
      <w:r w:rsidR="006639F2">
        <w:rPr>
          <w:rFonts w:ascii="Arial" w:hAnsi="Arial" w:cs="Arial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0.8 – 1.2 m</w:t>
      </w:r>
    </w:p>
    <w:p w:rsidR="00E5779A" w:rsidRPr="006639F2" w:rsidRDefault="006639F2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Channel A Light: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 </w:t>
      </w:r>
      <w:r w:rsidR="007C0ACE" w:rsidRPr="006639F2">
        <w:rPr>
          <w:rFonts w:ascii="Arial" w:hAnsi="Arial" w:cs="Arial"/>
          <w:lang w:val="en-GB"/>
        </w:rPr>
        <w:t xml:space="preserve">relay, 1 NO contact 230 V / 10 A, 2300 W or 1150 VA (cos </w:t>
      </w:r>
      <w:r w:rsidR="007C0ACE">
        <w:rPr>
          <w:rFonts w:ascii="Calibri" w:hAnsi="Calibri" w:cs="Calibri"/>
        </w:rPr>
        <w:t>ϕ</w:t>
      </w:r>
      <w:r w:rsidR="007C0ACE" w:rsidRPr="006639F2">
        <w:rPr>
          <w:rFonts w:ascii="Arial" w:hAnsi="Arial" w:cs="Arial"/>
          <w:lang w:val="en-GB"/>
        </w:rPr>
        <w:t xml:space="preserve"> = 0.5)</w:t>
      </w:r>
    </w:p>
    <w:p w:rsidR="009211A7" w:rsidRPr="006639F2" w:rsidRDefault="009211A7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en-GB"/>
        </w:rPr>
      </w:pPr>
      <w:r w:rsidRPr="006639F2">
        <w:rPr>
          <w:rFonts w:ascii="Arial" w:hAnsi="Arial" w:cs="Arial"/>
          <w:b/>
          <w:lang w:val="en-GB"/>
        </w:rPr>
        <w:t>Switching capacity LED &lt; 2 W:</w:t>
      </w:r>
      <w:r w:rsidR="006639F2">
        <w:rPr>
          <w:rFonts w:ascii="Arial" w:hAnsi="Arial" w:cs="Arial"/>
          <w:b/>
          <w:lang w:val="en-GB"/>
        </w:rPr>
        <w:t xml:space="preserve">     </w:t>
      </w:r>
      <w:r w:rsidRPr="006639F2">
        <w:rPr>
          <w:rFonts w:ascii="Arial" w:hAnsi="Arial" w:cs="Arial"/>
          <w:b/>
          <w:lang w:val="en-GB"/>
        </w:rPr>
        <w:t>typ. 40 W</w:t>
      </w:r>
    </w:p>
    <w:p w:rsidR="00D656E0" w:rsidRPr="006639F2" w:rsidRDefault="00D656E0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en-GB"/>
        </w:rPr>
      </w:pPr>
      <w:r w:rsidRPr="006639F2">
        <w:rPr>
          <w:rFonts w:ascii="Arial" w:hAnsi="Arial" w:cs="Arial"/>
          <w:b/>
          <w:lang w:val="en-GB"/>
        </w:rPr>
        <w:t>Switching capacity LED &gt; 2 W:</w:t>
      </w:r>
      <w:r w:rsidR="006639F2">
        <w:rPr>
          <w:rFonts w:ascii="Arial" w:hAnsi="Arial" w:cs="Arial"/>
          <w:b/>
          <w:lang w:val="en-GB"/>
        </w:rPr>
        <w:t xml:space="preserve">     </w:t>
      </w:r>
      <w:r w:rsidRPr="006639F2">
        <w:rPr>
          <w:rFonts w:ascii="Arial" w:hAnsi="Arial" w:cs="Arial"/>
          <w:b/>
          <w:lang w:val="en-GB"/>
        </w:rPr>
        <w:t>typ. 450 W</w:t>
      </w:r>
    </w:p>
    <w:p w:rsidR="00CC6300" w:rsidRPr="006639F2" w:rsidRDefault="006639F2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Brightness switching value: </w:t>
      </w:r>
      <w:r>
        <w:rPr>
          <w:rFonts w:ascii="Arial" w:hAnsi="Arial" w:cs="Arial"/>
          <w:lang w:val="en-GB"/>
        </w:rPr>
        <w:tab/>
        <w:t xml:space="preserve">      </w:t>
      </w:r>
      <w:r w:rsidR="001B798A" w:rsidRPr="006639F2">
        <w:rPr>
          <w:rFonts w:ascii="Arial" w:hAnsi="Arial" w:cs="Arial"/>
          <w:lang w:val="en-GB"/>
        </w:rPr>
        <w:t>5 – 1000 lux</w:t>
      </w:r>
    </w:p>
    <w:p w:rsidR="00CC6300" w:rsidRPr="006639F2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 xml:space="preserve">Lighting time delay: </w:t>
      </w:r>
      <w:r w:rsidRPr="006639F2">
        <w:rPr>
          <w:rFonts w:ascii="Arial" w:hAnsi="Arial" w:cs="Arial"/>
          <w:lang w:val="en-GB"/>
        </w:rPr>
        <w:tab/>
      </w:r>
      <w:r w:rsidRPr="006639F2">
        <w:rPr>
          <w:rFonts w:ascii="Arial" w:hAnsi="Arial" w:cs="Arial"/>
          <w:lang w:val="en-GB"/>
        </w:rPr>
        <w:tab/>
      </w:r>
      <w:r w:rsidR="006639F2">
        <w:rPr>
          <w:rFonts w:ascii="Arial" w:hAnsi="Arial" w:cs="Arial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10 s – 30 min, pulse</w:t>
      </w:r>
    </w:p>
    <w:p w:rsidR="00A75E61" w:rsidRPr="006639F2" w:rsidRDefault="006639F2" w:rsidP="00A75E61">
      <w:pPr>
        <w:pStyle w:val="Aufzhlung"/>
        <w:ind w:left="0" w:firstLine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Protection rating: 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 xml:space="preserve">      </w:t>
      </w:r>
      <w:r w:rsidR="00A75E61" w:rsidRPr="006639F2">
        <w:rPr>
          <w:rFonts w:ascii="Arial" w:hAnsi="Arial" w:cs="Arial"/>
          <w:lang w:val="en-GB"/>
        </w:rPr>
        <w:t>IP20</w:t>
      </w:r>
    </w:p>
    <w:p w:rsidR="00A75E61" w:rsidRPr="006639F2" w:rsidRDefault="00A75E61" w:rsidP="00A75E61">
      <w:pPr>
        <w:pStyle w:val="Aufzhlung"/>
        <w:ind w:left="0" w:firstLine="0"/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 xml:space="preserve">Operating temperature: </w:t>
      </w:r>
      <w:r w:rsidRPr="006639F2">
        <w:rPr>
          <w:rFonts w:ascii="Arial" w:hAnsi="Arial" w:cs="Arial"/>
          <w:lang w:val="en-GB"/>
        </w:rPr>
        <w:tab/>
      </w:r>
      <w:r w:rsidRPr="006639F2">
        <w:rPr>
          <w:rFonts w:ascii="Arial" w:hAnsi="Arial" w:cs="Arial"/>
          <w:lang w:val="en-GB"/>
        </w:rPr>
        <w:tab/>
      </w:r>
      <w:r w:rsidR="006639F2">
        <w:rPr>
          <w:rFonts w:ascii="Arial" w:hAnsi="Arial" w:cs="Arial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-15 °C to +45 °C</w:t>
      </w:r>
    </w:p>
    <w:p w:rsidR="00CC6300" w:rsidRPr="006639F2" w:rsidRDefault="00293461" w:rsidP="002C6314">
      <w:pPr>
        <w:pStyle w:val="Aufzhlung"/>
        <w:ind w:left="0" w:firstLine="0"/>
        <w:rPr>
          <w:rFonts w:ascii="Arial" w:hAnsi="Arial" w:cs="Arial"/>
          <w:lang w:val="fr-CH"/>
        </w:rPr>
      </w:pPr>
      <w:r w:rsidRPr="006639F2">
        <w:rPr>
          <w:rFonts w:ascii="Arial" w:hAnsi="Arial" w:cs="Arial"/>
          <w:lang w:val="fr-CH"/>
        </w:rPr>
        <w:t xml:space="preserve">Dimensions: </w:t>
      </w:r>
      <w:r w:rsidRPr="006639F2">
        <w:rPr>
          <w:rFonts w:ascii="Arial" w:hAnsi="Arial" w:cs="Arial"/>
          <w:lang w:val="fr-CH"/>
        </w:rPr>
        <w:tab/>
      </w:r>
      <w:r w:rsidRPr="006639F2">
        <w:rPr>
          <w:rFonts w:ascii="Arial" w:hAnsi="Arial" w:cs="Arial"/>
          <w:lang w:val="fr-CH"/>
        </w:rPr>
        <w:tab/>
      </w:r>
      <w:r w:rsidRPr="006639F2">
        <w:rPr>
          <w:rFonts w:ascii="Arial" w:hAnsi="Arial" w:cs="Arial"/>
          <w:lang w:val="fr-CH"/>
        </w:rPr>
        <w:tab/>
      </w:r>
      <w:r w:rsidR="006639F2">
        <w:rPr>
          <w:rFonts w:ascii="Arial" w:hAnsi="Arial" w:cs="Arial"/>
          <w:lang w:val="fr-CH"/>
        </w:rPr>
        <w:t xml:space="preserve">      </w:t>
      </w:r>
      <w:r w:rsidRPr="006639F2">
        <w:rPr>
          <w:rFonts w:ascii="Arial" w:hAnsi="Arial" w:cs="Arial"/>
          <w:lang w:val="fr-CH"/>
        </w:rPr>
        <w:t>85 x 85 mm, installation depth 37 mm</w:t>
      </w:r>
    </w:p>
    <w:p w:rsidR="001F4E1D" w:rsidRPr="006639F2" w:rsidRDefault="00293461" w:rsidP="00D656E0">
      <w:pPr>
        <w:pStyle w:val="Aufzhlung"/>
        <w:ind w:left="0" w:firstLine="0"/>
        <w:rPr>
          <w:rFonts w:ascii="Arial" w:hAnsi="Arial" w:cs="Arial"/>
          <w:lang w:val="en-GB"/>
        </w:rPr>
      </w:pPr>
      <w:r w:rsidRPr="006639F2">
        <w:rPr>
          <w:rFonts w:ascii="Arial" w:hAnsi="Arial" w:cs="Arial"/>
          <w:lang w:val="en-GB"/>
        </w:rPr>
        <w:t xml:space="preserve">Installation: </w:t>
      </w:r>
      <w:r w:rsidRPr="006639F2">
        <w:rPr>
          <w:rFonts w:ascii="Arial" w:hAnsi="Arial" w:cs="Arial"/>
          <w:lang w:val="en-GB"/>
        </w:rPr>
        <w:tab/>
      </w:r>
      <w:r w:rsidRPr="006639F2">
        <w:rPr>
          <w:rFonts w:ascii="Arial" w:hAnsi="Arial" w:cs="Arial"/>
          <w:lang w:val="en-GB"/>
        </w:rPr>
        <w:tab/>
      </w:r>
      <w:r w:rsidRPr="006639F2">
        <w:rPr>
          <w:rFonts w:ascii="Arial" w:hAnsi="Arial" w:cs="Arial"/>
          <w:lang w:val="en-GB"/>
        </w:rPr>
        <w:tab/>
      </w:r>
      <w:r w:rsidR="006639F2">
        <w:rPr>
          <w:rFonts w:ascii="Arial" w:hAnsi="Arial" w:cs="Arial"/>
          <w:lang w:val="en-GB"/>
        </w:rPr>
        <w:t xml:space="preserve">      </w:t>
      </w:r>
      <w:r w:rsidRPr="006639F2">
        <w:rPr>
          <w:rFonts w:ascii="Arial" w:hAnsi="Arial" w:cs="Arial"/>
          <w:lang w:val="en-GB"/>
        </w:rPr>
        <w:t>wall mounting in flush-mounted box size 1</w:t>
      </w: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656E0">
      <w:pPr>
        <w:pStyle w:val="Aufzhlung"/>
        <w:ind w:left="0" w:firstLine="0"/>
        <w:rPr>
          <w:rFonts w:ascii="Arial" w:hAnsi="Arial" w:cs="Arial"/>
          <w:lang w:val="en-GB"/>
        </w:rPr>
      </w:pPr>
    </w:p>
    <w:p w:rsidR="00DC0E02" w:rsidRPr="006639F2" w:rsidRDefault="00DC0E02" w:rsidP="00DC0E02">
      <w:pPr>
        <w:pStyle w:val="Aufzhlung"/>
        <w:spacing w:after="120"/>
        <w:ind w:left="0" w:firstLine="0"/>
        <w:rPr>
          <w:rFonts w:ascii="Arial" w:hAnsi="Arial" w:cs="Arial"/>
          <w:u w:val="single"/>
          <w:lang w:val="en-GB"/>
        </w:rPr>
      </w:pPr>
      <w:r w:rsidRPr="006639F2">
        <w:rPr>
          <w:rFonts w:ascii="Arial" w:hAnsi="Arial" w:cs="Arial"/>
          <w:u w:val="single"/>
          <w:lang w:val="en-GB"/>
        </w:rPr>
        <w:t>Optional accessories:</w:t>
      </w:r>
    </w:p>
    <w:p w:rsidR="00DC0E02" w:rsidRPr="006639F2" w:rsidRDefault="00DC0E02" w:rsidP="00DC0E02">
      <w:pPr>
        <w:pStyle w:val="Aufzhlung"/>
        <w:ind w:left="0" w:firstLine="0"/>
        <w:rPr>
          <w:rFonts w:ascii="Arial" w:hAnsi="Arial" w:cs="Arial"/>
          <w:u w:val="single"/>
          <w:lang w:val="en-GB"/>
        </w:rPr>
      </w:pPr>
    </w:p>
    <w:p w:rsidR="00DC0E02" w:rsidRPr="006639F2" w:rsidRDefault="00DC0E02" w:rsidP="00DC0E02">
      <w:pPr>
        <w:spacing w:after="120"/>
        <w:rPr>
          <w:rFonts w:ascii="Arial" w:hAnsi="Arial" w:cs="Arial"/>
          <w:b/>
          <w:sz w:val="20"/>
          <w:lang w:val="en-GB"/>
        </w:rPr>
      </w:pPr>
      <w:r w:rsidRPr="006639F2">
        <w:rPr>
          <w:rFonts w:ascii="Arial" w:hAnsi="Arial" w:cs="Arial"/>
          <w:b/>
          <w:sz w:val="20"/>
          <w:lang w:val="en-GB"/>
        </w:rPr>
        <w:t>Extension of detection area via slave device:</w:t>
      </w:r>
    </w:p>
    <w:p w:rsidR="00DC0E02" w:rsidRPr="00DC0E02" w:rsidRDefault="00DC0E02" w:rsidP="00DC0E02">
      <w:pPr>
        <w:spacing w:after="60"/>
        <w:rPr>
          <w:rFonts w:ascii="Arial" w:hAnsi="Arial" w:cs="Arial"/>
          <w:b/>
          <w:sz w:val="20"/>
          <w:lang w:val="en-GB"/>
        </w:rPr>
      </w:pPr>
      <w:r w:rsidRPr="006639F2">
        <w:rPr>
          <w:rFonts w:ascii="Arial" w:hAnsi="Arial" w:cs="Arial"/>
          <w:b/>
          <w:sz w:val="20"/>
          <w:lang w:val="en-GB"/>
        </w:rPr>
        <w:t xml:space="preserve">Order No. white: </w:t>
      </w:r>
      <w:r w:rsidRPr="006639F2">
        <w:rPr>
          <w:rFonts w:ascii="Arial" w:hAnsi="Arial" w:cs="Arial"/>
          <w:b/>
          <w:sz w:val="20"/>
          <w:lang w:val="en-GB"/>
        </w:rPr>
        <w:tab/>
      </w:r>
      <w:r w:rsidRPr="006639F2">
        <w:rPr>
          <w:rFonts w:ascii="Arial" w:hAnsi="Arial" w:cs="Arial"/>
          <w:b/>
          <w:sz w:val="20"/>
          <w:lang w:val="en-GB"/>
        </w:rPr>
        <w:tab/>
        <w:t>2060660 (theMura S180 Slave UP WH)</w:t>
      </w:r>
    </w:p>
    <w:sectPr w:rsidR="00DC0E02" w:rsidRPr="00DC0E02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E900C8" w:rsidRDefault="00E900C8">
      <w:r>
        <w:separator/>
      </w:r>
    </w:p>
  </w:endnote>
  <w:endnote w:type="continuationSeparator" w:id="0">
    <w:p w:rsidR="00E900C8" w:rsidRDefault="00E90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F213AE" w:rsidTr="006B75C9">
      <w:tc>
        <w:tcPr>
          <w:tcW w:w="4747" w:type="dxa"/>
        </w:tcPr>
        <w:p w:rsidR="00F213AE" w:rsidRPr="0095605F" w:rsidRDefault="00F213AE" w:rsidP="004E2972">
          <w:pPr>
            <w:pStyle w:val="Fuzeile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Subject to alteration</w:t>
          </w:r>
        </w:p>
      </w:tc>
      <w:tc>
        <w:tcPr>
          <w:tcW w:w="4748" w:type="dxa"/>
        </w:tcPr>
        <w:p w:rsidR="00F213AE" w:rsidRPr="0095605F" w:rsidRDefault="00D656E0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08.2019</w:t>
          </w:r>
          <w:r>
            <w:rPr>
              <w:rFonts w:ascii="Symbol" w:hAnsi="Symbol"/>
            </w:rPr>
            <w:t></w:t>
          </w:r>
          <w:r>
            <w:rPr>
              <w:rFonts w:ascii="Arial" w:hAnsi="Arial" w:cs="Arial"/>
            </w:rPr>
            <w:t>Theben AG</w:t>
          </w:r>
        </w:p>
      </w:tc>
    </w:tr>
  </w:tbl>
  <w:p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E900C8" w:rsidRDefault="00E900C8">
      <w:r>
        <w:separator/>
      </w:r>
    </w:p>
  </w:footnote>
  <w:footnote w:type="continuationSeparator" w:id="0">
    <w:p w:rsidR="00E900C8" w:rsidRDefault="00E90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F213AE" w:rsidRPr="004E2972" w:rsidTr="006B75C9">
      <w:tc>
        <w:tcPr>
          <w:tcW w:w="4747" w:type="dxa"/>
        </w:tcPr>
        <w:p w:rsidR="00F213AE" w:rsidRPr="004E2972" w:rsidRDefault="00F213AE" w:rsidP="004E2972">
          <w:pPr>
            <w:pStyle w:val="Kopfzeile"/>
          </w:pPr>
        </w:p>
      </w:tc>
      <w:tc>
        <w:tcPr>
          <w:tcW w:w="4748" w:type="dxa"/>
        </w:tcPr>
        <w:p w:rsidR="00F213AE" w:rsidRPr="004E2972" w:rsidRDefault="0011221C" w:rsidP="004E2972">
          <w:pPr>
            <w:pStyle w:val="Kopfzeile"/>
          </w:pPr>
          <w:r>
            <w:rPr>
              <w:noProof/>
            </w:rPr>
            <w:t xml:space="preserve">                                                               </w:t>
          </w:r>
          <w:r w:rsidR="00E900C8" w:rsidRPr="00F15DB1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" o:spid="_x0000_i1025" type="#_x0000_t75" alt="" style="width:97.95pt;height:45.2pt;visibility:visible;mso-width-percent:0;mso-height-percent:0;mso-width-percent:0;mso-height-percent:0">
                <v:imagedata r:id="rId1" o:title="" croptop="15129f" cropbottom="17784f" cropleft="-3538f" cropright="-4555f"/>
              </v:shape>
            </w:pict>
          </w:r>
        </w:p>
      </w:tc>
    </w:tr>
  </w:tbl>
  <w:p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326516873">
    <w:abstractNumId w:val="2"/>
  </w:num>
  <w:num w:numId="2" w16cid:durableId="443768602">
    <w:abstractNumId w:val="4"/>
  </w:num>
  <w:num w:numId="3" w16cid:durableId="918707217">
    <w:abstractNumId w:val="1"/>
  </w:num>
  <w:num w:numId="4" w16cid:durableId="970742670">
    <w:abstractNumId w:val="0"/>
  </w:num>
  <w:num w:numId="5" w16cid:durableId="25015929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6A01"/>
    <w:rsid w:val="00167D65"/>
    <w:rsid w:val="0018253F"/>
    <w:rsid w:val="001954BB"/>
    <w:rsid w:val="001B798A"/>
    <w:rsid w:val="001C5AE6"/>
    <w:rsid w:val="001E1D0D"/>
    <w:rsid w:val="001F49C8"/>
    <w:rsid w:val="001F4E1D"/>
    <w:rsid w:val="001F5BF1"/>
    <w:rsid w:val="0023533D"/>
    <w:rsid w:val="00261E93"/>
    <w:rsid w:val="002770D0"/>
    <w:rsid w:val="00293461"/>
    <w:rsid w:val="002A63AC"/>
    <w:rsid w:val="002C0750"/>
    <w:rsid w:val="002C6314"/>
    <w:rsid w:val="002D071C"/>
    <w:rsid w:val="002E4478"/>
    <w:rsid w:val="002E64BA"/>
    <w:rsid w:val="002F170E"/>
    <w:rsid w:val="002F3067"/>
    <w:rsid w:val="00306E86"/>
    <w:rsid w:val="00317F04"/>
    <w:rsid w:val="003242DD"/>
    <w:rsid w:val="003327EE"/>
    <w:rsid w:val="003567FA"/>
    <w:rsid w:val="0036004F"/>
    <w:rsid w:val="00367E7C"/>
    <w:rsid w:val="003836D1"/>
    <w:rsid w:val="003873E5"/>
    <w:rsid w:val="003A6C78"/>
    <w:rsid w:val="003D717D"/>
    <w:rsid w:val="00405990"/>
    <w:rsid w:val="00427F4D"/>
    <w:rsid w:val="00430F45"/>
    <w:rsid w:val="00442A17"/>
    <w:rsid w:val="00461495"/>
    <w:rsid w:val="00477426"/>
    <w:rsid w:val="004930BB"/>
    <w:rsid w:val="004C07C4"/>
    <w:rsid w:val="004C6BD9"/>
    <w:rsid w:val="004D5108"/>
    <w:rsid w:val="004E2972"/>
    <w:rsid w:val="004F2EB4"/>
    <w:rsid w:val="004F6840"/>
    <w:rsid w:val="005116E4"/>
    <w:rsid w:val="00543AAD"/>
    <w:rsid w:val="00557AA9"/>
    <w:rsid w:val="005739DA"/>
    <w:rsid w:val="005C502D"/>
    <w:rsid w:val="005F796A"/>
    <w:rsid w:val="00604C66"/>
    <w:rsid w:val="00616195"/>
    <w:rsid w:val="00622B3A"/>
    <w:rsid w:val="00630FC3"/>
    <w:rsid w:val="00643324"/>
    <w:rsid w:val="006573DC"/>
    <w:rsid w:val="006639F2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752C7"/>
    <w:rsid w:val="00785FE4"/>
    <w:rsid w:val="00792DB9"/>
    <w:rsid w:val="007A7A86"/>
    <w:rsid w:val="007B2E89"/>
    <w:rsid w:val="007C0ACE"/>
    <w:rsid w:val="007C7A20"/>
    <w:rsid w:val="007F4E69"/>
    <w:rsid w:val="00857B98"/>
    <w:rsid w:val="00872719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51B8"/>
    <w:rsid w:val="00A72AEF"/>
    <w:rsid w:val="00A75E61"/>
    <w:rsid w:val="00A77791"/>
    <w:rsid w:val="00AB0222"/>
    <w:rsid w:val="00AB2128"/>
    <w:rsid w:val="00AB443F"/>
    <w:rsid w:val="00AB4B97"/>
    <w:rsid w:val="00B345A1"/>
    <w:rsid w:val="00B7621C"/>
    <w:rsid w:val="00B91A8A"/>
    <w:rsid w:val="00C001FA"/>
    <w:rsid w:val="00C05DE7"/>
    <w:rsid w:val="00C1124C"/>
    <w:rsid w:val="00C203A0"/>
    <w:rsid w:val="00C43A40"/>
    <w:rsid w:val="00C84303"/>
    <w:rsid w:val="00C8699D"/>
    <w:rsid w:val="00CA46A7"/>
    <w:rsid w:val="00CB1CD5"/>
    <w:rsid w:val="00CC6300"/>
    <w:rsid w:val="00CC69C8"/>
    <w:rsid w:val="00CE0149"/>
    <w:rsid w:val="00CF20FB"/>
    <w:rsid w:val="00D00BF0"/>
    <w:rsid w:val="00D03C54"/>
    <w:rsid w:val="00D05F16"/>
    <w:rsid w:val="00D656E0"/>
    <w:rsid w:val="00D7757B"/>
    <w:rsid w:val="00D84889"/>
    <w:rsid w:val="00D96261"/>
    <w:rsid w:val="00DA5A07"/>
    <w:rsid w:val="00DC0E02"/>
    <w:rsid w:val="00DF4FE3"/>
    <w:rsid w:val="00E20CCF"/>
    <w:rsid w:val="00E26082"/>
    <w:rsid w:val="00E5779A"/>
    <w:rsid w:val="00E66107"/>
    <w:rsid w:val="00E769D5"/>
    <w:rsid w:val="00E900C8"/>
    <w:rsid w:val="00E92A11"/>
    <w:rsid w:val="00EA1E7A"/>
    <w:rsid w:val="00EA7350"/>
    <w:rsid w:val="00EB4AB1"/>
    <w:rsid w:val="00EC36C2"/>
    <w:rsid w:val="00EE3B0B"/>
    <w:rsid w:val="00F07E9A"/>
    <w:rsid w:val="00F21331"/>
    <w:rsid w:val="00F213AE"/>
    <w:rsid w:val="00F50BD0"/>
    <w:rsid w:val="00F55BBA"/>
    <w:rsid w:val="00F95E8C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chartTrackingRefBased/>
  <w15:docId w15:val="{E697099C-5B1B-A440-A04A-259CC12B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  <w:lang w:val="de-CH" w:eastAsia="de-CH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rPr>
      <w:rFonts w:ascii="Times New Roman" w:hAnsi="Times New Roman"/>
    </w:rPr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  <w:lang w:val="de-CH" w:eastAsia="de-CH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231</Words>
  <Characters>1462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Jürgen Schwitzer</cp:lastModifiedBy>
  <cp:revision>2</cp:revision>
  <cp:lastPrinted>2018-10-03T06:57:00Z</cp:lastPrinted>
  <dcterms:created xsi:type="dcterms:W3CDTF">2026-10-16T12:45:00Z</dcterms:created>
  <dcterms:modified xsi:type="dcterms:W3CDTF">2026-10-16T12:45:00Z</dcterms:modified>
</cp:coreProperties>
</file>